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0BB0E" w14:textId="77777777" w:rsidR="00FE1748" w:rsidRDefault="00FE1748" w:rsidP="00FE1748">
      <w:pPr>
        <w:pStyle w:val="Title"/>
        <w:rPr>
          <w:kern w:val="2"/>
          <w:szCs w:val="52"/>
          <w14:ligatures w14:val="standardContextual"/>
        </w:rPr>
      </w:pPr>
      <w:r>
        <w:t>Public Policy Assessment and Statewide Framework for Affordable Homeownership Production</w:t>
      </w:r>
    </w:p>
    <w:p w14:paraId="0ED70A35" w14:textId="77777777" w:rsidR="00FE1748" w:rsidRDefault="00FE1748">
      <w:pPr>
        <w:pStyle w:val="Subtitle"/>
        <w:rPr>
          <w:kern w:val="2"/>
          <w14:ligatures w14:val="standardContextual"/>
        </w:rPr>
      </w:pPr>
      <w:r>
        <w:t>Demand-Only Assistance and Underfunded Homeownership Production Deepen New Jersey’s Housing Supply Crisis</w:t>
      </w:r>
    </w:p>
    <w:p w14:paraId="13B360F6" w14:textId="77777777" w:rsidR="00982991" w:rsidRDefault="00982991">
      <w:pPr>
        <w:spacing w:line="276" w:lineRule="auto"/>
        <w:jc w:val="center"/>
        <w:rPr>
          <w:kern w:val="2"/>
          <w:szCs w:val="22"/>
          <w14:ligatures w14:val="standardContextual"/>
        </w:rPr>
      </w:pPr>
      <w:r>
        <w:t>Prepared by: Friends of Affordable Housing</w:t>
      </w:r>
      <w:r>
        <w:br/>
        <w:t>Date: September 24, 2026</w:t>
      </w:r>
    </w:p>
    <w:p w14:paraId="1622DF86" w14:textId="77777777" w:rsidR="001B5F9C" w:rsidRPr="001B5F9C" w:rsidRDefault="00000000" w:rsidP="001B5F9C">
      <w:pPr>
        <w:spacing w:line="278" w:lineRule="auto"/>
      </w:pPr>
      <w:r>
        <w:pict w14:anchorId="1675D75B">
          <v:rect id="_x0000_i1025" style="width:0;height:1.5pt" o:hralign="center" o:hrstd="t" o:hr="t" fillcolor="#a0a0a0" stroked="f"/>
        </w:pict>
      </w:r>
    </w:p>
    <w:p w14:paraId="4B0CC949" w14:textId="77777777" w:rsidR="00FE1748" w:rsidRPr="00E354AD" w:rsidRDefault="00FE1748" w:rsidP="005E5873">
      <w:pPr>
        <w:pStyle w:val="Heading2"/>
        <w:rPr>
          <w:rFonts w:ascii="Times New Roman" w:hAnsi="Times New Roman" w:cs="Times New Roman"/>
          <w:b w:val="0"/>
          <w:bCs/>
          <w:color w:val="000000" w:themeColor="text1"/>
          <w:sz w:val="32"/>
        </w:rPr>
      </w:pPr>
      <w:bookmarkStart w:id="0" w:name="_Toc240920503"/>
      <w:bookmarkStart w:id="1" w:name="_Toc240920752"/>
      <w:bookmarkStart w:id="2" w:name="_Toc240921618"/>
      <w:bookmarkStart w:id="3" w:name="_Toc240921615"/>
      <w:r w:rsidRPr="00E354AD">
        <w:rPr>
          <w:rFonts w:ascii="Segoe UI Emoji" w:hAnsi="Segoe UI Emoji" w:cs="Segoe UI Emoji"/>
          <w:bCs/>
          <w:color w:val="000000" w:themeColor="text1"/>
          <w:sz w:val="32"/>
        </w:rPr>
        <w:t>🟧</w:t>
      </w:r>
      <w:r w:rsidRPr="00E354AD">
        <w:rPr>
          <w:rFonts w:ascii="Times New Roman" w:hAnsi="Times New Roman" w:cs="Times New Roman"/>
          <w:bCs/>
          <w:color w:val="000000" w:themeColor="text1"/>
          <w:sz w:val="32"/>
        </w:rPr>
        <w:t xml:space="preserve"> Executive Summary</w:t>
      </w:r>
      <w:bookmarkEnd w:id="3"/>
    </w:p>
    <w:p w14:paraId="4492C1F2" w14:textId="77777777" w:rsidR="00FE1748" w:rsidRPr="00434A22" w:rsidRDefault="00FE1748" w:rsidP="005E5873">
      <w:pPr>
        <w:pStyle w:val="origin-typography"/>
      </w:pPr>
      <w:r w:rsidRPr="00434A22">
        <w:t xml:space="preserve">New Jersey’s current down payment assistance strategy does not solve the state’s homeownership affordability crisis. The </w:t>
      </w:r>
      <w:r>
        <w:t xml:space="preserve">State </w:t>
      </w:r>
      <w:r w:rsidRPr="00434A22">
        <w:t>program provides between $10,000 and $2</w:t>
      </w:r>
      <w:r>
        <w:t>2</w:t>
      </w:r>
      <w:r w:rsidRPr="00434A22">
        <w:t>,000 in assistance depending on county and first-generation homebuyer status, but its practical effect on monthly affordability is limited.</w:t>
      </w:r>
      <w:r>
        <w:rPr>
          <w:rStyle w:val="FootnoteReference"/>
        </w:rPr>
        <w:footnoteReference w:id="1"/>
      </w:r>
    </w:p>
    <w:p w14:paraId="4D27453E" w14:textId="77777777" w:rsidR="00FE1748" w:rsidRPr="00434A22" w:rsidRDefault="00FE1748" w:rsidP="005E5873">
      <w:pPr>
        <w:pStyle w:val="origin-typography"/>
      </w:pPr>
      <w:r w:rsidRPr="00434A22">
        <w:t>In the county examples reviewed, the assistance changes the monthly payment by only about $96.89. That is not enough to meaningfully close the gap between household incomes and median home prices. The income needed to purchase a median-priced home ranges from $84,842 in Cumberland County to $224,862 in Bergen County, while New Jersey’s median household income is approximately $</w:t>
      </w:r>
      <w:r>
        <w:t>100,000</w:t>
      </w:r>
      <w:r w:rsidRPr="00434A22">
        <w:t>.</w:t>
      </w:r>
      <w:r>
        <w:rPr>
          <w:rStyle w:val="FootnoteReference"/>
        </w:rPr>
        <w:footnoteReference w:id="2"/>
      </w:r>
    </w:p>
    <w:p w14:paraId="76983DAD" w14:textId="77777777" w:rsidR="00FE1748" w:rsidRPr="00434A22" w:rsidRDefault="00FE1748" w:rsidP="005E5873">
      <w:pPr>
        <w:pStyle w:val="origin-typography"/>
      </w:pPr>
      <w:r w:rsidRPr="00434A22">
        <w:t>The data points to a clear policy conclusion: New Jersey should invest more heavily in producing affordable homes for sale, rather than relying primarily on down payment assistance for existing homes.</w:t>
      </w:r>
    </w:p>
    <w:p w14:paraId="4983141A" w14:textId="77777777" w:rsidR="00FE1748" w:rsidRPr="00434A22" w:rsidRDefault="00FE1748" w:rsidP="005E5873">
      <w:pPr>
        <w:pStyle w:val="origin-typography"/>
      </w:pPr>
      <w:r w:rsidRPr="00434A22">
        <w:lastRenderedPageBreak/>
        <w:t xml:space="preserve">Down payment assistance may help some buyers reach closing, but it does not create new units, expand supply, reduce market prices, or build long-term affordability on a scale. Homeownership production </w:t>
      </w:r>
      <w:r>
        <w:t xml:space="preserve">is what </w:t>
      </w:r>
      <w:r w:rsidRPr="00434A22">
        <w:t>does.</w:t>
      </w:r>
    </w:p>
    <w:p w14:paraId="44A705D5" w14:textId="77777777" w:rsidR="00FE1748" w:rsidRPr="00434A22" w:rsidRDefault="00FE1748" w:rsidP="005E5873">
      <w:pPr>
        <w:rPr>
          <w:rFonts w:ascii="Times New Roman" w:hAnsi="Times New Roman" w:cs="Times New Roman"/>
        </w:rPr>
      </w:pPr>
      <w:r>
        <w:rPr>
          <w:rFonts w:ascii="Times New Roman" w:hAnsi="Times New Roman" w:cs="Times New Roman"/>
        </w:rPr>
        <w:pict w14:anchorId="423363AD">
          <v:rect id="_x0000_i1064" style="width:0;height:1.5pt" o:hralign="center" o:hrstd="t" o:hr="t" fillcolor="#a0a0a0" stroked="f"/>
        </w:pict>
      </w:r>
    </w:p>
    <w:p w14:paraId="569794CB" w14:textId="77777777" w:rsidR="00FE1748" w:rsidRPr="00E354AD" w:rsidRDefault="00FE1748" w:rsidP="005E5873">
      <w:pPr>
        <w:pStyle w:val="Heading2"/>
        <w:rPr>
          <w:rFonts w:ascii="Times New Roman" w:hAnsi="Times New Roman" w:cs="Times New Roman"/>
          <w:b w:val="0"/>
          <w:bCs/>
          <w:color w:val="auto"/>
        </w:rPr>
      </w:pPr>
      <w:bookmarkStart w:id="4" w:name="_Toc240920501"/>
      <w:bookmarkStart w:id="5" w:name="_Toc240920750"/>
      <w:bookmarkStart w:id="6" w:name="_Toc240921616"/>
      <w:r w:rsidRPr="00E354AD">
        <w:rPr>
          <w:rFonts w:ascii="Segoe UI Emoji" w:hAnsi="Segoe UI Emoji" w:cs="Segoe UI Emoji"/>
          <w:bCs/>
          <w:color w:val="auto"/>
        </w:rPr>
        <w:t>🟧</w:t>
      </w:r>
      <w:r w:rsidRPr="00E354AD">
        <w:rPr>
          <w:rFonts w:ascii="Times New Roman" w:hAnsi="Times New Roman" w:cs="Times New Roman"/>
          <w:bCs/>
          <w:color w:val="auto"/>
        </w:rPr>
        <w:t xml:space="preserve"> Policy Question</w:t>
      </w:r>
      <w:bookmarkEnd w:id="4"/>
      <w:bookmarkEnd w:id="5"/>
      <w:bookmarkEnd w:id="6"/>
    </w:p>
    <w:p w14:paraId="1034167A" w14:textId="77777777" w:rsidR="00FE1748" w:rsidRPr="00434A22" w:rsidRDefault="00FE1748" w:rsidP="005E5873">
      <w:pPr>
        <w:pStyle w:val="origin-typography"/>
      </w:pPr>
      <w:r w:rsidRPr="00434A22">
        <w:t>Does New Jersey’s down payment assistance program meaningfully improve affordability, or should the state redirect more funding toward producing affordable homes for sale?</w:t>
      </w:r>
    </w:p>
    <w:p w14:paraId="394EFAEC" w14:textId="77777777" w:rsidR="00FE1748" w:rsidRPr="00E354AD" w:rsidRDefault="00FE1748" w:rsidP="005E5873">
      <w:pPr>
        <w:pStyle w:val="Heading2"/>
        <w:rPr>
          <w:rFonts w:ascii="Times New Roman" w:hAnsi="Times New Roman" w:cs="Times New Roman"/>
          <w:b w:val="0"/>
          <w:bCs/>
          <w:color w:val="auto"/>
        </w:rPr>
      </w:pPr>
      <w:bookmarkStart w:id="7" w:name="_Toc240920502"/>
      <w:bookmarkStart w:id="8" w:name="_Toc240920751"/>
      <w:bookmarkStart w:id="9" w:name="_Toc240921617"/>
      <w:r w:rsidRPr="00E354AD">
        <w:rPr>
          <w:rFonts w:ascii="Segoe UI Emoji" w:hAnsi="Segoe UI Emoji" w:cs="Segoe UI Emoji"/>
          <w:bCs/>
          <w:color w:val="auto"/>
        </w:rPr>
        <w:t>🟧</w:t>
      </w:r>
      <w:r w:rsidRPr="00E354AD">
        <w:rPr>
          <w:rFonts w:ascii="Times New Roman" w:hAnsi="Times New Roman" w:cs="Times New Roman"/>
          <w:bCs/>
          <w:color w:val="auto"/>
        </w:rPr>
        <w:t xml:space="preserve"> Policy Answer</w:t>
      </w:r>
      <w:bookmarkEnd w:id="7"/>
      <w:bookmarkEnd w:id="8"/>
      <w:bookmarkEnd w:id="9"/>
    </w:p>
    <w:p w14:paraId="25FCF6D8" w14:textId="77777777" w:rsidR="00FE1748" w:rsidRPr="00434A22" w:rsidRDefault="00FE1748" w:rsidP="005E5873">
      <w:pPr>
        <w:pStyle w:val="origin-typography"/>
      </w:pPr>
      <w:r w:rsidRPr="00434A22">
        <w:t xml:space="preserve">The data </w:t>
      </w:r>
      <w:r>
        <w:t>show</w:t>
      </w:r>
      <w:r w:rsidRPr="00434A22">
        <w:t xml:space="preserve"> that down payment assistance provides only limited monthly savings, does not create new housing units, and does not close the gap between household incomes and home </w:t>
      </w:r>
      <w:r>
        <w:t>sale values</w:t>
      </w:r>
      <w:r w:rsidRPr="00434A22">
        <w:t xml:space="preserve">. The stronger policy response is to shift more state funding </w:t>
      </w:r>
      <w:r>
        <w:t xml:space="preserve">toward affordable homeownership production, especially for households earning below 80% of the </w:t>
      </w:r>
      <w:r w:rsidRPr="00434A22">
        <w:t>area median income.</w:t>
      </w:r>
    </w:p>
    <w:p w14:paraId="74967E67" w14:textId="77777777" w:rsidR="00FE1748" w:rsidRPr="001C2A6B" w:rsidRDefault="00FE1748" w:rsidP="005E5873">
      <w:pPr>
        <w:pStyle w:val="Heading1"/>
        <w:rPr>
          <w:rFonts w:ascii="Times New Roman" w:hAnsi="Times New Roman" w:cs="Times New Roman"/>
          <w:b w:val="0"/>
          <w:bCs/>
          <w:color w:val="000000" w:themeColor="text1"/>
        </w:rPr>
      </w:pPr>
      <w:r w:rsidRPr="001C2A6B">
        <w:rPr>
          <w:rFonts w:ascii="Segoe UI Emoji" w:hAnsi="Segoe UI Emoji" w:cs="Segoe UI Emoji"/>
          <w:bCs/>
          <w:color w:val="000000" w:themeColor="text1"/>
        </w:rPr>
        <w:t>🟧</w:t>
      </w:r>
      <w:r w:rsidRPr="001C2A6B">
        <w:rPr>
          <w:rFonts w:ascii="Times New Roman" w:hAnsi="Times New Roman" w:cs="Times New Roman"/>
          <w:bCs/>
          <w:color w:val="000000" w:themeColor="text1"/>
        </w:rPr>
        <w:t xml:space="preserve"> Key Findings</w:t>
      </w:r>
    </w:p>
    <w:p w14:paraId="4C7C2FA0" w14:textId="77777777" w:rsidR="00FE1748" w:rsidRPr="00434A22" w:rsidRDefault="00FE1748" w:rsidP="005E5873">
      <w:pPr>
        <w:rPr>
          <w:rFonts w:ascii="Times New Roman" w:hAnsi="Times New Roman" w:cs="Times New Roman"/>
        </w:rPr>
      </w:pPr>
    </w:p>
    <w:p w14:paraId="533BF0DB" w14:textId="77777777" w:rsidR="00FE1748" w:rsidRPr="00E354AD" w:rsidRDefault="00FE1748" w:rsidP="005E5873">
      <w:pPr>
        <w:pStyle w:val="Heading2"/>
        <w:rPr>
          <w:rFonts w:ascii="Times New Roman" w:eastAsia="Times New Roman" w:hAnsi="Times New Roman" w:cs="Times New Roman"/>
          <w:b w:val="0"/>
          <w:bCs/>
          <w:color w:val="auto"/>
          <w:szCs w:val="24"/>
        </w:rPr>
      </w:pPr>
      <w:r w:rsidRPr="00E354AD">
        <w:rPr>
          <w:rFonts w:ascii="Segoe UI Emoji" w:hAnsi="Segoe UI Emoji" w:cstheme="minorBidi"/>
          <w:bCs/>
          <w:color w:val="auto"/>
        </w:rPr>
        <w:t>🟧</w:t>
      </w:r>
      <w:r w:rsidRPr="00E354AD">
        <w:rPr>
          <w:rFonts w:ascii="Times New Roman" w:hAnsi="Times New Roman"/>
          <w:bCs/>
          <w:color w:val="auto"/>
        </w:rPr>
        <w:t xml:space="preserve"> Finding 1: Down Payment Assistance Has Little Effect on Monthly Affordability</w:t>
      </w:r>
    </w:p>
    <w:p w14:paraId="3D93D255" w14:textId="77777777" w:rsidR="00FE1748" w:rsidRPr="00434A22" w:rsidRDefault="00FE1748" w:rsidP="005E5873">
      <w:pPr>
        <w:pStyle w:val="origin-typography"/>
      </w:pPr>
      <w:r w:rsidRPr="00434A22">
        <w:t xml:space="preserve">The monthly payment impact is nearly the same across the </w:t>
      </w:r>
      <w:proofErr w:type="gramStart"/>
      <w:r w:rsidRPr="00434A22">
        <w:t>county</w:t>
      </w:r>
      <w:proofErr w:type="gramEnd"/>
      <w:r w:rsidRPr="00434A22">
        <w:t xml:space="preserve"> examples reviewed: approximately $96.89.</w:t>
      </w:r>
    </w:p>
    <w:p w14:paraId="6AF8D95F" w14:textId="77777777" w:rsidR="00FE1748" w:rsidRPr="00434A22" w:rsidRDefault="00FE1748" w:rsidP="005E5873">
      <w:pPr>
        <w:pStyle w:val="Heading3"/>
        <w:rPr>
          <w:rFonts w:ascii="Times New Roman" w:hAnsi="Times New Roman" w:cs="Times New Roman"/>
          <w:b/>
          <w:bCs/>
        </w:rPr>
      </w:pPr>
      <w:r w:rsidRPr="00AE1AA2">
        <w:rPr>
          <w:rFonts w:ascii="Segoe UI Emoji" w:hAnsi="Segoe UI Emoji" w:cs="Segoe UI Emoji"/>
        </w:rPr>
        <w:t>🟧</w:t>
      </w:r>
      <w:r w:rsidRPr="00434A22">
        <w:rPr>
          <w:rFonts w:ascii="Times New Roman" w:hAnsi="Times New Roman" w:cs="Times New Roman"/>
          <w:b/>
          <w:bCs/>
        </w:rPr>
        <w:t xml:space="preserve"> </w:t>
      </w:r>
      <w:r w:rsidRPr="00F14637">
        <w:rPr>
          <w:rFonts w:ascii="Times New Roman" w:hAnsi="Times New Roman" w:cs="Times New Roman"/>
        </w:rPr>
        <w:t>Exhibit 1. Example Monthly Payment Impact</w:t>
      </w:r>
      <w:r w:rsidRPr="00814C5F">
        <w:rPr>
          <w:rStyle w:val="FootnoteReference"/>
          <w:rFonts w:ascii="Times New Roman" w:hAnsi="Times New Roman" w:cs="Times New Roman"/>
        </w:rPr>
        <w:footnoteReference w:id="3"/>
      </w:r>
    </w:p>
    <w:p w14:paraId="67B81130" w14:textId="77777777" w:rsidR="00FE1748" w:rsidRPr="00434A22" w:rsidRDefault="00FE1748" w:rsidP="005E5873">
      <w:pPr>
        <w:rPr>
          <w:rFonts w:ascii="Times New Roman" w:hAnsi="Times New Roman" w:cs="Times New Roman"/>
        </w:rPr>
      </w:pPr>
    </w:p>
    <w:tbl>
      <w:tblPr>
        <w:tblStyle w:val="ListTable7Colorful-Accent1"/>
        <w:tblW w:w="0" w:type="auto"/>
        <w:tblLook w:val="04A0" w:firstRow="1" w:lastRow="0" w:firstColumn="1" w:lastColumn="0" w:noHBand="0" w:noVBand="1"/>
      </w:tblPr>
      <w:tblGrid>
        <w:gridCol w:w="1316"/>
        <w:gridCol w:w="3160"/>
        <w:gridCol w:w="3036"/>
        <w:gridCol w:w="1848"/>
      </w:tblGrid>
      <w:tr w:rsidR="00FE1748" w:rsidRPr="00434A22" w14:paraId="165FCAF3" w14:textId="77777777" w:rsidTr="005E587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B784C0F"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County</w:t>
            </w:r>
          </w:p>
        </w:tc>
        <w:tc>
          <w:tcPr>
            <w:tcW w:w="0" w:type="auto"/>
            <w:hideMark/>
          </w:tcPr>
          <w:p w14:paraId="710AAB52"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Monthly Payment Before Assistance</w:t>
            </w:r>
          </w:p>
        </w:tc>
        <w:tc>
          <w:tcPr>
            <w:tcW w:w="0" w:type="auto"/>
            <w:hideMark/>
          </w:tcPr>
          <w:p w14:paraId="415B5AC1"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Monthly Payment After Assistance</w:t>
            </w:r>
          </w:p>
        </w:tc>
        <w:tc>
          <w:tcPr>
            <w:tcW w:w="0" w:type="auto"/>
            <w:hideMark/>
          </w:tcPr>
          <w:p w14:paraId="68B58297"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Monthly Reduction</w:t>
            </w:r>
          </w:p>
        </w:tc>
      </w:tr>
      <w:tr w:rsidR="00FE1748" w:rsidRPr="00434A22" w14:paraId="3AD568CA"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F99BEC"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Bergen</w:t>
            </w:r>
          </w:p>
        </w:tc>
        <w:tc>
          <w:tcPr>
            <w:tcW w:w="0" w:type="auto"/>
            <w:hideMark/>
          </w:tcPr>
          <w:p w14:paraId="49DFB029"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$5,621.56</w:t>
            </w:r>
          </w:p>
        </w:tc>
        <w:tc>
          <w:tcPr>
            <w:tcW w:w="0" w:type="auto"/>
            <w:hideMark/>
          </w:tcPr>
          <w:p w14:paraId="2575DF73"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$5,529.75</w:t>
            </w:r>
          </w:p>
        </w:tc>
        <w:tc>
          <w:tcPr>
            <w:tcW w:w="0" w:type="auto"/>
            <w:hideMark/>
          </w:tcPr>
          <w:p w14:paraId="360A0E5A"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$96.89</w:t>
            </w:r>
          </w:p>
        </w:tc>
      </w:tr>
      <w:tr w:rsidR="00FE1748" w:rsidRPr="00434A22" w14:paraId="7ACAFA96"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2821DBE9"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Hudson</w:t>
            </w:r>
          </w:p>
        </w:tc>
        <w:tc>
          <w:tcPr>
            <w:tcW w:w="0" w:type="auto"/>
            <w:hideMark/>
          </w:tcPr>
          <w:p w14:paraId="35FE3AE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$5,079.09</w:t>
            </w:r>
          </w:p>
        </w:tc>
        <w:tc>
          <w:tcPr>
            <w:tcW w:w="0" w:type="auto"/>
            <w:hideMark/>
          </w:tcPr>
          <w:p w14:paraId="7526B822"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$4,982.20</w:t>
            </w:r>
          </w:p>
        </w:tc>
        <w:tc>
          <w:tcPr>
            <w:tcW w:w="0" w:type="auto"/>
            <w:hideMark/>
          </w:tcPr>
          <w:p w14:paraId="6972F91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$96.89</w:t>
            </w:r>
          </w:p>
        </w:tc>
      </w:tr>
      <w:tr w:rsidR="00FE1748" w:rsidRPr="00434A22" w14:paraId="14E9BAA1"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FC49C5"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Monmouth</w:t>
            </w:r>
          </w:p>
        </w:tc>
        <w:tc>
          <w:tcPr>
            <w:tcW w:w="0" w:type="auto"/>
            <w:hideMark/>
          </w:tcPr>
          <w:p w14:paraId="04A6FF62"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$5,282.71</w:t>
            </w:r>
          </w:p>
        </w:tc>
        <w:tc>
          <w:tcPr>
            <w:tcW w:w="0" w:type="auto"/>
            <w:hideMark/>
          </w:tcPr>
          <w:p w14:paraId="15A00CE6"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$5,185.82</w:t>
            </w:r>
          </w:p>
        </w:tc>
        <w:tc>
          <w:tcPr>
            <w:tcW w:w="0" w:type="auto"/>
            <w:hideMark/>
          </w:tcPr>
          <w:p w14:paraId="381B932B"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$96.89</w:t>
            </w:r>
          </w:p>
        </w:tc>
      </w:tr>
      <w:tr w:rsidR="00FE1748" w:rsidRPr="00434A22" w14:paraId="6E83510C"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65A97C71"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Morris</w:t>
            </w:r>
          </w:p>
        </w:tc>
        <w:tc>
          <w:tcPr>
            <w:tcW w:w="0" w:type="auto"/>
            <w:hideMark/>
          </w:tcPr>
          <w:p w14:paraId="3217DF9B"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$5,180.34</w:t>
            </w:r>
          </w:p>
        </w:tc>
        <w:tc>
          <w:tcPr>
            <w:tcW w:w="0" w:type="auto"/>
            <w:hideMark/>
          </w:tcPr>
          <w:p w14:paraId="58EA0E01"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$5,083.45</w:t>
            </w:r>
          </w:p>
        </w:tc>
        <w:tc>
          <w:tcPr>
            <w:tcW w:w="0" w:type="auto"/>
            <w:hideMark/>
          </w:tcPr>
          <w:p w14:paraId="26282E42"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$96.89</w:t>
            </w:r>
          </w:p>
        </w:tc>
      </w:tr>
      <w:tr w:rsidR="00FE1748" w:rsidRPr="00434A22" w14:paraId="4C690562"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C9269B"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Salem</w:t>
            </w:r>
          </w:p>
        </w:tc>
        <w:tc>
          <w:tcPr>
            <w:tcW w:w="0" w:type="auto"/>
            <w:hideMark/>
          </w:tcPr>
          <w:p w14:paraId="45DADBDB"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$2,362.42</w:t>
            </w:r>
          </w:p>
        </w:tc>
        <w:tc>
          <w:tcPr>
            <w:tcW w:w="0" w:type="auto"/>
            <w:hideMark/>
          </w:tcPr>
          <w:p w14:paraId="78312856"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$2,265.53</w:t>
            </w:r>
          </w:p>
        </w:tc>
        <w:tc>
          <w:tcPr>
            <w:tcW w:w="0" w:type="auto"/>
            <w:hideMark/>
          </w:tcPr>
          <w:p w14:paraId="10E56BE6"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$96.89</w:t>
            </w:r>
          </w:p>
        </w:tc>
      </w:tr>
      <w:tr w:rsidR="00FE1748" w:rsidRPr="00434A22" w14:paraId="7CEA5419"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74006E98"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Cumberland</w:t>
            </w:r>
          </w:p>
        </w:tc>
        <w:tc>
          <w:tcPr>
            <w:tcW w:w="0" w:type="auto"/>
            <w:hideMark/>
          </w:tcPr>
          <w:p w14:paraId="4F9FAFEF"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$2,121.05</w:t>
            </w:r>
          </w:p>
        </w:tc>
        <w:tc>
          <w:tcPr>
            <w:tcW w:w="0" w:type="auto"/>
            <w:hideMark/>
          </w:tcPr>
          <w:p w14:paraId="3C2D4143"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$2,024.16</w:t>
            </w:r>
          </w:p>
        </w:tc>
        <w:tc>
          <w:tcPr>
            <w:tcW w:w="0" w:type="auto"/>
            <w:hideMark/>
          </w:tcPr>
          <w:p w14:paraId="2F2D6E39"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$96.89</w:t>
            </w:r>
          </w:p>
        </w:tc>
      </w:tr>
    </w:tbl>
    <w:p w14:paraId="44A949A7" w14:textId="77777777" w:rsidR="00FE1748" w:rsidRPr="00434A22" w:rsidRDefault="00FE1748" w:rsidP="005E5873">
      <w:pPr>
        <w:rPr>
          <w:rFonts w:ascii="Times New Roman" w:hAnsi="Times New Roman" w:cs="Times New Roman"/>
        </w:rPr>
      </w:pPr>
    </w:p>
    <w:p w14:paraId="2D7B6E33" w14:textId="77777777" w:rsidR="00FE1748" w:rsidRPr="00D174CA" w:rsidRDefault="00FE1748" w:rsidP="005E5873">
      <w:pPr>
        <w:pStyle w:val="Heading3"/>
        <w:rPr>
          <w:rFonts w:ascii="Times New Roman" w:hAnsi="Times New Roman" w:cs="Times New Roman"/>
          <w:b/>
          <w:bCs/>
        </w:rPr>
      </w:pPr>
      <w:r w:rsidRPr="00D174CA">
        <w:rPr>
          <w:rFonts w:ascii="Times New Roman" w:hAnsi="Times New Roman" w:cs="Times New Roman"/>
          <w:b/>
          <w:bCs/>
        </w:rPr>
        <w:t>Why This Matters</w:t>
      </w:r>
    </w:p>
    <w:p w14:paraId="733F6EE5" w14:textId="77777777" w:rsidR="00FE1748" w:rsidRPr="00434A22" w:rsidRDefault="00FE1748" w:rsidP="005E5873">
      <w:pPr>
        <w:pStyle w:val="origin-typography"/>
      </w:pPr>
      <w:r w:rsidRPr="00434A22">
        <w:t>A monthly reduction of about $97 does not change the structure of New Jersey’s affordability problem. It may help a buyer at the margin, but it does not overcome high home prices, property taxes, insurance costs, interest rates, and limited housing supply.</w:t>
      </w:r>
    </w:p>
    <w:p w14:paraId="638E3542" w14:textId="77777777" w:rsidR="00FE1748" w:rsidRPr="00434A22" w:rsidRDefault="00FE1748" w:rsidP="005E5873">
      <w:pPr>
        <w:rPr>
          <w:rFonts w:ascii="Times New Roman" w:hAnsi="Times New Roman" w:cs="Times New Roman"/>
        </w:rPr>
      </w:pPr>
      <w:r>
        <w:rPr>
          <w:rFonts w:ascii="Times New Roman" w:hAnsi="Times New Roman" w:cs="Times New Roman"/>
        </w:rPr>
        <w:pict w14:anchorId="4883B9CA">
          <v:rect id="_x0000_i1065" style="width:0;height:1.5pt" o:hralign="center" o:hrstd="t" o:hr="t" fillcolor="#a0a0a0" stroked="f"/>
        </w:pict>
      </w:r>
    </w:p>
    <w:p w14:paraId="619E1EBC" w14:textId="77777777" w:rsidR="00FE1748" w:rsidRPr="00434A22" w:rsidRDefault="00FE1748" w:rsidP="005E5873">
      <w:pPr>
        <w:rPr>
          <w:rFonts w:ascii="Times New Roman" w:eastAsiaTheme="majorEastAsia" w:hAnsi="Times New Roman" w:cs="Times New Roman"/>
          <w:color w:val="B76E0B" w:themeColor="accent1" w:themeShade="BF"/>
          <w:sz w:val="28"/>
          <w:szCs w:val="28"/>
        </w:rPr>
      </w:pPr>
      <w:r w:rsidRPr="00434A22">
        <w:rPr>
          <w:rFonts w:ascii="Times New Roman" w:hAnsi="Times New Roman" w:cs="Times New Roman"/>
        </w:rPr>
        <w:br w:type="page"/>
      </w:r>
    </w:p>
    <w:p w14:paraId="0A0DF282" w14:textId="77777777" w:rsidR="00FE1748" w:rsidRPr="00E354AD" w:rsidRDefault="00FE1748" w:rsidP="005E5873">
      <w:pPr>
        <w:pStyle w:val="Heading2"/>
        <w:rPr>
          <w:rFonts w:ascii="Times New Roman" w:hAnsi="Times New Roman" w:cs="Times New Roman"/>
          <w:b w:val="0"/>
          <w:bCs/>
          <w:color w:val="auto"/>
        </w:rPr>
      </w:pPr>
      <w:r w:rsidRPr="00E354AD">
        <w:rPr>
          <w:rFonts w:ascii="Segoe UI Emoji" w:hAnsi="Segoe UI Emoji" w:cs="Segoe UI Emoji"/>
          <w:bCs/>
          <w:color w:val="auto"/>
        </w:rPr>
        <w:lastRenderedPageBreak/>
        <w:t>🟧</w:t>
      </w:r>
      <w:r w:rsidRPr="00E354AD">
        <w:rPr>
          <w:rFonts w:ascii="Times New Roman" w:hAnsi="Times New Roman" w:cs="Times New Roman"/>
          <w:bCs/>
          <w:color w:val="auto"/>
        </w:rPr>
        <w:t xml:space="preserve"> Finding 2: Required Income Exceeds Local Median Income in Many Counties</w:t>
      </w:r>
    </w:p>
    <w:p w14:paraId="541D2165" w14:textId="77777777" w:rsidR="00FE1748" w:rsidRPr="00434A22" w:rsidRDefault="00FE1748" w:rsidP="005E5873">
      <w:pPr>
        <w:pStyle w:val="origin-typography"/>
      </w:pPr>
      <w:r w:rsidRPr="00434A22">
        <w:t>The income needed to afford a median-priced home is far above the median household income in many counties.</w:t>
      </w:r>
    </w:p>
    <w:p w14:paraId="7C96F40F" w14:textId="77777777" w:rsidR="00FE1748" w:rsidRPr="00434A22" w:rsidRDefault="00FE1748" w:rsidP="005E5873">
      <w:pPr>
        <w:pStyle w:val="Heading3"/>
        <w:rPr>
          <w:rFonts w:ascii="Times New Roman" w:hAnsi="Times New Roman" w:cs="Times New Roman"/>
          <w:b/>
          <w:bCs/>
        </w:rPr>
      </w:pPr>
      <w:r w:rsidRPr="00AE1AA2">
        <w:rPr>
          <w:rFonts w:ascii="Segoe UI Emoji" w:hAnsi="Segoe UI Emoji" w:cs="Segoe UI Emoji"/>
        </w:rPr>
        <w:t>🟧</w:t>
      </w:r>
      <w:r w:rsidRPr="00434A22">
        <w:rPr>
          <w:rFonts w:ascii="Times New Roman" w:hAnsi="Times New Roman" w:cs="Times New Roman"/>
          <w:b/>
          <w:bCs/>
        </w:rPr>
        <w:t xml:space="preserve"> </w:t>
      </w:r>
      <w:r w:rsidRPr="00F14637">
        <w:rPr>
          <w:rFonts w:ascii="Times New Roman" w:hAnsi="Times New Roman" w:cs="Times New Roman"/>
        </w:rPr>
        <w:t>Exhibit 2. Income Needed Compared with Median Household Income</w:t>
      </w:r>
      <w:r>
        <w:rPr>
          <w:rStyle w:val="FootnoteReference"/>
          <w:rFonts w:ascii="Times New Roman" w:hAnsi="Times New Roman" w:cs="Times New Roman"/>
        </w:rPr>
        <w:footnoteReference w:id="4"/>
      </w:r>
    </w:p>
    <w:p w14:paraId="461DD185" w14:textId="77777777" w:rsidR="00FE1748" w:rsidRPr="00434A22" w:rsidRDefault="00FE1748" w:rsidP="005E5873">
      <w:pPr>
        <w:rPr>
          <w:rFonts w:ascii="Times New Roman" w:hAnsi="Times New Roman" w:cs="Times New Roman"/>
        </w:rPr>
      </w:pPr>
    </w:p>
    <w:tbl>
      <w:tblPr>
        <w:tblStyle w:val="ListTable7Colorful-Accent1"/>
        <w:tblW w:w="0" w:type="auto"/>
        <w:tblLook w:val="04A0" w:firstRow="1" w:lastRow="0" w:firstColumn="1" w:lastColumn="0" w:noHBand="0" w:noVBand="1"/>
      </w:tblPr>
      <w:tblGrid>
        <w:gridCol w:w="1316"/>
        <w:gridCol w:w="2595"/>
        <w:gridCol w:w="3668"/>
        <w:gridCol w:w="1781"/>
      </w:tblGrid>
      <w:tr w:rsidR="00FE1748" w:rsidRPr="00434A22" w14:paraId="7465BED5" w14:textId="77777777" w:rsidTr="005E587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0FBAEB7" w14:textId="77777777" w:rsidR="00FE1748" w:rsidRPr="00434A22" w:rsidRDefault="00FE1748" w:rsidP="005E5873">
            <w:pPr>
              <w:jc w:val="left"/>
              <w:rPr>
                <w:rFonts w:ascii="Times New Roman" w:hAnsi="Times New Roman" w:cs="Times New Roman"/>
                <w:b/>
                <w:bCs/>
              </w:rPr>
            </w:pPr>
            <w:r w:rsidRPr="00434A22">
              <w:rPr>
                <w:rFonts w:ascii="Times New Roman" w:hAnsi="Times New Roman" w:cs="Times New Roman"/>
                <w:b/>
                <w:bCs/>
              </w:rPr>
              <w:t>County</w:t>
            </w:r>
          </w:p>
        </w:tc>
        <w:tc>
          <w:tcPr>
            <w:tcW w:w="0" w:type="auto"/>
            <w:hideMark/>
          </w:tcPr>
          <w:p w14:paraId="526A5C53"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Median Household Income</w:t>
            </w:r>
          </w:p>
        </w:tc>
        <w:tc>
          <w:tcPr>
            <w:tcW w:w="0" w:type="auto"/>
            <w:hideMark/>
          </w:tcPr>
          <w:p w14:paraId="5564BEAF"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Income Needed to Afford Median Home</w:t>
            </w:r>
          </w:p>
        </w:tc>
        <w:tc>
          <w:tcPr>
            <w:tcW w:w="0" w:type="auto"/>
            <w:hideMark/>
          </w:tcPr>
          <w:p w14:paraId="14F41F69"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Affordability Gap</w:t>
            </w:r>
          </w:p>
        </w:tc>
      </w:tr>
      <w:tr w:rsidR="00FE1748" w:rsidRPr="00434A22" w14:paraId="20706A0D"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56DA5A"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Hudson</w:t>
            </w:r>
          </w:p>
        </w:tc>
        <w:tc>
          <w:tcPr>
            <w:tcW w:w="0" w:type="auto"/>
            <w:hideMark/>
          </w:tcPr>
          <w:p w14:paraId="65039AF7"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90,032</w:t>
            </w:r>
          </w:p>
        </w:tc>
        <w:tc>
          <w:tcPr>
            <w:tcW w:w="0" w:type="auto"/>
            <w:hideMark/>
          </w:tcPr>
          <w:p w14:paraId="565CE1B3"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$203,164</w:t>
            </w:r>
          </w:p>
        </w:tc>
        <w:tc>
          <w:tcPr>
            <w:tcW w:w="0" w:type="auto"/>
            <w:hideMark/>
          </w:tcPr>
          <w:p w14:paraId="444B866A"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w:t>
            </w:r>
            <w:r>
              <w:rPr>
                <w:rFonts w:ascii="Times New Roman" w:hAnsi="Times New Roman" w:cs="Times New Roman"/>
                <w:szCs w:val="22"/>
              </w:rPr>
              <w:t>13,132</w:t>
            </w:r>
          </w:p>
        </w:tc>
      </w:tr>
      <w:tr w:rsidR="00FE1748" w:rsidRPr="00434A22" w14:paraId="336CB9C6"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13A12A86"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Essex</w:t>
            </w:r>
          </w:p>
        </w:tc>
        <w:tc>
          <w:tcPr>
            <w:tcW w:w="0" w:type="auto"/>
            <w:hideMark/>
          </w:tcPr>
          <w:p w14:paraId="28E91A31"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76,712</w:t>
            </w:r>
          </w:p>
        </w:tc>
        <w:tc>
          <w:tcPr>
            <w:tcW w:w="0" w:type="auto"/>
            <w:hideMark/>
          </w:tcPr>
          <w:p w14:paraId="119E968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$206,684</w:t>
            </w:r>
          </w:p>
        </w:tc>
        <w:tc>
          <w:tcPr>
            <w:tcW w:w="0" w:type="auto"/>
            <w:hideMark/>
          </w:tcPr>
          <w:p w14:paraId="0C0192E3"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$12</w:t>
            </w:r>
            <w:r>
              <w:rPr>
                <w:rFonts w:ascii="Times New Roman" w:hAnsi="Times New Roman" w:cs="Times New Roman"/>
                <w:szCs w:val="22"/>
              </w:rPr>
              <w:t>9,972</w:t>
            </w:r>
          </w:p>
        </w:tc>
      </w:tr>
      <w:tr w:rsidR="00FE1748" w:rsidRPr="00434A22" w14:paraId="06BEE031"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1FBA51"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Union</w:t>
            </w:r>
          </w:p>
        </w:tc>
        <w:tc>
          <w:tcPr>
            <w:tcW w:w="0" w:type="auto"/>
            <w:hideMark/>
          </w:tcPr>
          <w:p w14:paraId="753BAA03"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100,117</w:t>
            </w:r>
          </w:p>
        </w:tc>
        <w:tc>
          <w:tcPr>
            <w:tcW w:w="0" w:type="auto"/>
            <w:hideMark/>
          </w:tcPr>
          <w:p w14:paraId="0CF62736"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$196,282</w:t>
            </w:r>
          </w:p>
        </w:tc>
        <w:tc>
          <w:tcPr>
            <w:tcW w:w="0" w:type="auto"/>
            <w:hideMark/>
          </w:tcPr>
          <w:p w14:paraId="5A4AE84E"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96,165</w:t>
            </w:r>
          </w:p>
        </w:tc>
      </w:tr>
      <w:tr w:rsidR="00FE1748" w:rsidRPr="00434A22" w14:paraId="68A6742B"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63AB61D5"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Passaic</w:t>
            </w:r>
          </w:p>
        </w:tc>
        <w:tc>
          <w:tcPr>
            <w:tcW w:w="0" w:type="auto"/>
            <w:hideMark/>
          </w:tcPr>
          <w:p w14:paraId="40D524C3"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$87,</w:t>
            </w:r>
            <w:r>
              <w:rPr>
                <w:rFonts w:ascii="Times New Roman" w:hAnsi="Times New Roman" w:cs="Times New Roman"/>
                <w:szCs w:val="22"/>
              </w:rPr>
              <w:t>137</w:t>
            </w:r>
          </w:p>
        </w:tc>
        <w:tc>
          <w:tcPr>
            <w:tcW w:w="0" w:type="auto"/>
            <w:hideMark/>
          </w:tcPr>
          <w:p w14:paraId="4BF01465"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$190,007</w:t>
            </w:r>
          </w:p>
        </w:tc>
        <w:tc>
          <w:tcPr>
            <w:tcW w:w="0" w:type="auto"/>
            <w:hideMark/>
          </w:tcPr>
          <w:p w14:paraId="544B5270"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$102,</w:t>
            </w:r>
            <w:r>
              <w:rPr>
                <w:rFonts w:ascii="Times New Roman" w:hAnsi="Times New Roman" w:cs="Times New Roman"/>
                <w:szCs w:val="22"/>
              </w:rPr>
              <w:t>870</w:t>
            </w:r>
          </w:p>
        </w:tc>
      </w:tr>
      <w:tr w:rsidR="00FE1748" w:rsidRPr="00434A22" w14:paraId="5AA23A84"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C37B86"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Bergen</w:t>
            </w:r>
          </w:p>
        </w:tc>
        <w:tc>
          <w:tcPr>
            <w:tcW w:w="0" w:type="auto"/>
            <w:hideMark/>
          </w:tcPr>
          <w:p w14:paraId="6A669EB7"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$123,715</w:t>
            </w:r>
          </w:p>
        </w:tc>
        <w:tc>
          <w:tcPr>
            <w:tcW w:w="0" w:type="auto"/>
            <w:hideMark/>
          </w:tcPr>
          <w:p w14:paraId="7DE3C6EA"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$224,862</w:t>
            </w:r>
          </w:p>
        </w:tc>
        <w:tc>
          <w:tcPr>
            <w:tcW w:w="0" w:type="auto"/>
            <w:hideMark/>
          </w:tcPr>
          <w:p w14:paraId="2653098D"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$101,147</w:t>
            </w:r>
          </w:p>
        </w:tc>
      </w:tr>
      <w:tr w:rsidR="00FE1748" w:rsidRPr="00434A22" w14:paraId="19EDACD1"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1CABC10F"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Monmouth</w:t>
            </w:r>
          </w:p>
        </w:tc>
        <w:tc>
          <w:tcPr>
            <w:tcW w:w="0" w:type="auto"/>
            <w:hideMark/>
          </w:tcPr>
          <w:p w14:paraId="041A0D8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$12</w:t>
            </w:r>
            <w:r>
              <w:rPr>
                <w:rFonts w:ascii="Times New Roman" w:hAnsi="Times New Roman" w:cs="Times New Roman"/>
                <w:szCs w:val="22"/>
              </w:rPr>
              <w:t>2,727</w:t>
            </w:r>
          </w:p>
        </w:tc>
        <w:tc>
          <w:tcPr>
            <w:tcW w:w="0" w:type="auto"/>
            <w:hideMark/>
          </w:tcPr>
          <w:p w14:paraId="7685CCE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$211,309</w:t>
            </w:r>
          </w:p>
        </w:tc>
        <w:tc>
          <w:tcPr>
            <w:tcW w:w="0" w:type="auto"/>
            <w:hideMark/>
          </w:tcPr>
          <w:p w14:paraId="0612CA75"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$8</w:t>
            </w:r>
            <w:r>
              <w:rPr>
                <w:rFonts w:ascii="Times New Roman" w:hAnsi="Times New Roman" w:cs="Times New Roman"/>
                <w:szCs w:val="22"/>
              </w:rPr>
              <w:t>8</w:t>
            </w:r>
            <w:r w:rsidRPr="00585EF3">
              <w:rPr>
                <w:rFonts w:ascii="Times New Roman" w:hAnsi="Times New Roman" w:cs="Times New Roman"/>
                <w:szCs w:val="22"/>
              </w:rPr>
              <w:t>,</w:t>
            </w:r>
            <w:r>
              <w:rPr>
                <w:rFonts w:ascii="Times New Roman" w:hAnsi="Times New Roman" w:cs="Times New Roman"/>
                <w:szCs w:val="22"/>
              </w:rPr>
              <w:t>582</w:t>
            </w:r>
          </w:p>
        </w:tc>
      </w:tr>
      <w:tr w:rsidR="00FE1748" w:rsidRPr="00434A22" w14:paraId="790D49DA"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0B9E40"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Sussex</w:t>
            </w:r>
          </w:p>
        </w:tc>
        <w:tc>
          <w:tcPr>
            <w:tcW w:w="0" w:type="auto"/>
            <w:hideMark/>
          </w:tcPr>
          <w:p w14:paraId="2EC2CC4D"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w:t>
            </w:r>
            <w:r>
              <w:rPr>
                <w:rFonts w:ascii="Times New Roman" w:hAnsi="Times New Roman" w:cs="Times New Roman"/>
                <w:szCs w:val="22"/>
              </w:rPr>
              <w:t>14,316</w:t>
            </w:r>
          </w:p>
        </w:tc>
        <w:tc>
          <w:tcPr>
            <w:tcW w:w="0" w:type="auto"/>
            <w:hideMark/>
          </w:tcPr>
          <w:p w14:paraId="022471A8"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$188,237</w:t>
            </w:r>
          </w:p>
        </w:tc>
        <w:tc>
          <w:tcPr>
            <w:tcW w:w="0" w:type="auto"/>
            <w:hideMark/>
          </w:tcPr>
          <w:p w14:paraId="4B28D8AD"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73,921</w:t>
            </w:r>
          </w:p>
        </w:tc>
      </w:tr>
      <w:tr w:rsidR="00FE1748" w:rsidRPr="00434A22" w14:paraId="114815B1"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0DD71B59"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Morris</w:t>
            </w:r>
          </w:p>
        </w:tc>
        <w:tc>
          <w:tcPr>
            <w:tcW w:w="0" w:type="auto"/>
            <w:hideMark/>
          </w:tcPr>
          <w:p w14:paraId="1040CF3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$134,929</w:t>
            </w:r>
          </w:p>
        </w:tc>
        <w:tc>
          <w:tcPr>
            <w:tcW w:w="0" w:type="auto"/>
            <w:hideMark/>
          </w:tcPr>
          <w:p w14:paraId="215A5F6D"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$207,214</w:t>
            </w:r>
          </w:p>
        </w:tc>
        <w:tc>
          <w:tcPr>
            <w:tcW w:w="0" w:type="auto"/>
            <w:hideMark/>
          </w:tcPr>
          <w:p w14:paraId="230BA866"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$72,285</w:t>
            </w:r>
          </w:p>
        </w:tc>
      </w:tr>
      <w:tr w:rsidR="00FE1748" w:rsidRPr="00434A22" w14:paraId="2045E07D"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74E977"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Somerset</w:t>
            </w:r>
          </w:p>
        </w:tc>
        <w:tc>
          <w:tcPr>
            <w:tcW w:w="0" w:type="auto"/>
            <w:hideMark/>
          </w:tcPr>
          <w:p w14:paraId="412D3C9E"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$135,960</w:t>
            </w:r>
          </w:p>
        </w:tc>
        <w:tc>
          <w:tcPr>
            <w:tcW w:w="0" w:type="auto"/>
            <w:hideMark/>
          </w:tcPr>
          <w:p w14:paraId="7F7B50B0"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$183,839</w:t>
            </w:r>
          </w:p>
        </w:tc>
        <w:tc>
          <w:tcPr>
            <w:tcW w:w="0" w:type="auto"/>
            <w:hideMark/>
          </w:tcPr>
          <w:p w14:paraId="38D3613B"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$47,879</w:t>
            </w:r>
          </w:p>
        </w:tc>
      </w:tr>
      <w:tr w:rsidR="00FE1748" w:rsidRPr="00434A22" w14:paraId="4928DD06"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33C1DCE6"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Hunterdon</w:t>
            </w:r>
          </w:p>
        </w:tc>
        <w:tc>
          <w:tcPr>
            <w:tcW w:w="0" w:type="auto"/>
            <w:hideMark/>
          </w:tcPr>
          <w:p w14:paraId="2F4433F4"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$139,453</w:t>
            </w:r>
          </w:p>
        </w:tc>
        <w:tc>
          <w:tcPr>
            <w:tcW w:w="0" w:type="auto"/>
            <w:hideMark/>
          </w:tcPr>
          <w:p w14:paraId="6689EDA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$179,884</w:t>
            </w:r>
          </w:p>
        </w:tc>
        <w:tc>
          <w:tcPr>
            <w:tcW w:w="0" w:type="auto"/>
            <w:hideMark/>
          </w:tcPr>
          <w:p w14:paraId="546F33F3"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$40,431</w:t>
            </w:r>
          </w:p>
        </w:tc>
      </w:tr>
      <w:tr w:rsidR="00FE1748" w:rsidRPr="00434A22" w14:paraId="51295E4A"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B410A9"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Cumberland</w:t>
            </w:r>
          </w:p>
        </w:tc>
        <w:tc>
          <w:tcPr>
            <w:tcW w:w="0" w:type="auto"/>
            <w:hideMark/>
          </w:tcPr>
          <w:p w14:paraId="79F0094B"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w:t>
            </w:r>
            <w:r>
              <w:rPr>
                <w:rFonts w:ascii="Times New Roman" w:hAnsi="Times New Roman" w:cs="Times New Roman"/>
                <w:szCs w:val="22"/>
              </w:rPr>
              <w:t>4,499</w:t>
            </w:r>
          </w:p>
        </w:tc>
        <w:tc>
          <w:tcPr>
            <w:tcW w:w="0" w:type="auto"/>
            <w:hideMark/>
          </w:tcPr>
          <w:p w14:paraId="08A183A7"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$84,842</w:t>
            </w:r>
          </w:p>
        </w:tc>
        <w:tc>
          <w:tcPr>
            <w:tcW w:w="0" w:type="auto"/>
            <w:hideMark/>
          </w:tcPr>
          <w:p w14:paraId="37444575"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20,343</w:t>
            </w:r>
          </w:p>
        </w:tc>
      </w:tr>
      <w:tr w:rsidR="00FE1748" w:rsidRPr="00434A22" w14:paraId="3700ECC4"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3B130CFB"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Salem</w:t>
            </w:r>
          </w:p>
        </w:tc>
        <w:tc>
          <w:tcPr>
            <w:tcW w:w="0" w:type="auto"/>
            <w:hideMark/>
          </w:tcPr>
          <w:p w14:paraId="64E5D9B0"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w:t>
            </w:r>
            <w:r>
              <w:rPr>
                <w:rFonts w:ascii="Times New Roman" w:hAnsi="Times New Roman" w:cs="Times New Roman"/>
                <w:szCs w:val="22"/>
              </w:rPr>
              <w:t>8,412</w:t>
            </w:r>
          </w:p>
        </w:tc>
        <w:tc>
          <w:tcPr>
            <w:tcW w:w="0" w:type="auto"/>
            <w:hideMark/>
          </w:tcPr>
          <w:p w14:paraId="60DD3357"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$94,497</w:t>
            </w:r>
          </w:p>
        </w:tc>
        <w:tc>
          <w:tcPr>
            <w:tcW w:w="0" w:type="auto"/>
            <w:hideMark/>
          </w:tcPr>
          <w:p w14:paraId="21077ADB"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16,085</w:t>
            </w:r>
          </w:p>
        </w:tc>
      </w:tr>
    </w:tbl>
    <w:p w14:paraId="3987E070" w14:textId="77777777" w:rsidR="00FE1748" w:rsidRPr="00434A22" w:rsidRDefault="00FE1748" w:rsidP="005E5873">
      <w:pPr>
        <w:rPr>
          <w:rFonts w:ascii="Times New Roman" w:hAnsi="Times New Roman" w:cs="Times New Roman"/>
        </w:rPr>
      </w:pPr>
    </w:p>
    <w:p w14:paraId="2CB9FC3C" w14:textId="77777777" w:rsidR="00FE1748" w:rsidRPr="00D174CA" w:rsidRDefault="00FE1748" w:rsidP="005E5873">
      <w:pPr>
        <w:pStyle w:val="Heading3"/>
        <w:rPr>
          <w:rFonts w:ascii="Times New Roman" w:hAnsi="Times New Roman" w:cs="Times New Roman"/>
          <w:b/>
          <w:bCs/>
        </w:rPr>
      </w:pPr>
      <w:r w:rsidRPr="00D174CA">
        <w:rPr>
          <w:rFonts w:ascii="Times New Roman" w:hAnsi="Times New Roman" w:cs="Times New Roman"/>
          <w:b/>
          <w:bCs/>
        </w:rPr>
        <w:t>Why This Matters</w:t>
      </w:r>
    </w:p>
    <w:p w14:paraId="760E5193" w14:textId="77777777" w:rsidR="00FE1748" w:rsidRPr="00434A22" w:rsidRDefault="00FE1748" w:rsidP="005E5873">
      <w:pPr>
        <w:pStyle w:val="origin-typography"/>
      </w:pPr>
      <w:r w:rsidRPr="00434A22">
        <w:t>In several counties, households need roughly $100,000 or more above the local median income to afford the median-priced home. This shows that the current approach is not reaching many working households, most affected by the housing crisis, especially families below 80% of area median income.</w:t>
      </w:r>
    </w:p>
    <w:p w14:paraId="1E5C750E" w14:textId="77777777" w:rsidR="00FE1748" w:rsidRPr="00434A22" w:rsidRDefault="00FE1748" w:rsidP="005E5873">
      <w:pPr>
        <w:rPr>
          <w:rFonts w:ascii="Times New Roman" w:hAnsi="Times New Roman" w:cs="Times New Roman"/>
        </w:rPr>
      </w:pPr>
      <w:r>
        <w:rPr>
          <w:rFonts w:ascii="Times New Roman" w:hAnsi="Times New Roman" w:cs="Times New Roman"/>
        </w:rPr>
        <w:pict w14:anchorId="007B6157">
          <v:rect id="_x0000_i1066" style="width:0;height:1.5pt" o:hralign="center" o:hrstd="t" o:hr="t" fillcolor="#a0a0a0" stroked="f"/>
        </w:pict>
      </w:r>
    </w:p>
    <w:p w14:paraId="5C036F47" w14:textId="77777777" w:rsidR="00FE1748" w:rsidRPr="00434A22" w:rsidRDefault="00FE1748" w:rsidP="005E5873">
      <w:pPr>
        <w:rPr>
          <w:rFonts w:ascii="Times New Roman" w:eastAsiaTheme="majorEastAsia" w:hAnsi="Times New Roman" w:cs="Times New Roman"/>
          <w:color w:val="B76E0B" w:themeColor="accent1" w:themeShade="BF"/>
          <w:sz w:val="28"/>
          <w:szCs w:val="28"/>
        </w:rPr>
      </w:pPr>
      <w:r w:rsidRPr="00434A22">
        <w:rPr>
          <w:rFonts w:ascii="Times New Roman" w:hAnsi="Times New Roman" w:cs="Times New Roman"/>
        </w:rPr>
        <w:br w:type="page"/>
      </w:r>
    </w:p>
    <w:p w14:paraId="0AD0E4CB" w14:textId="77777777" w:rsidR="00FE1748" w:rsidRPr="00E354AD" w:rsidRDefault="00FE1748" w:rsidP="005E5873">
      <w:pPr>
        <w:pStyle w:val="Heading2"/>
        <w:rPr>
          <w:rFonts w:ascii="Times New Roman" w:hAnsi="Times New Roman" w:cs="Times New Roman"/>
          <w:b w:val="0"/>
          <w:bCs/>
          <w:color w:val="auto"/>
        </w:rPr>
      </w:pPr>
      <w:r w:rsidRPr="00E354AD">
        <w:rPr>
          <w:rFonts w:ascii="Segoe UI Emoji" w:hAnsi="Segoe UI Emoji" w:cs="Segoe UI Emoji"/>
          <w:bCs/>
          <w:color w:val="auto"/>
        </w:rPr>
        <w:lastRenderedPageBreak/>
        <w:t>🟧</w:t>
      </w:r>
      <w:r w:rsidRPr="00E354AD">
        <w:rPr>
          <w:rFonts w:ascii="Times New Roman" w:hAnsi="Times New Roman" w:cs="Times New Roman"/>
          <w:bCs/>
          <w:color w:val="auto"/>
        </w:rPr>
        <w:t xml:space="preserve"> Finding 3: Median Home Prices Are Too High for Buyer Assistance Alone</w:t>
      </w:r>
    </w:p>
    <w:p w14:paraId="0AE5E5BD" w14:textId="77777777" w:rsidR="00FE1748" w:rsidRPr="00434A22" w:rsidRDefault="00FE1748" w:rsidP="005E5873">
      <w:pPr>
        <w:pStyle w:val="origin-typography"/>
      </w:pPr>
      <w:r w:rsidRPr="00434A22">
        <w:t>Home values have risen sharply across New Jersey, making it difficult for a one-time subsidy to meaningfully improve affordability.</w:t>
      </w:r>
    </w:p>
    <w:p w14:paraId="30AB3AA9" w14:textId="77777777" w:rsidR="00FE1748" w:rsidRPr="00434A22" w:rsidRDefault="00FE1748" w:rsidP="005E5873">
      <w:pPr>
        <w:pStyle w:val="Heading3"/>
        <w:rPr>
          <w:rFonts w:ascii="Times New Roman" w:hAnsi="Times New Roman" w:cs="Times New Roman"/>
        </w:rPr>
      </w:pPr>
      <w:r w:rsidRPr="00434A22">
        <w:rPr>
          <w:rFonts w:ascii="Segoe UI Emoji" w:hAnsi="Segoe UI Emoji" w:cs="Segoe UI Emoji"/>
        </w:rPr>
        <w:t>🟧</w:t>
      </w:r>
      <w:r w:rsidRPr="00434A22">
        <w:rPr>
          <w:rFonts w:ascii="Times New Roman" w:hAnsi="Times New Roman" w:cs="Times New Roman"/>
        </w:rPr>
        <w:t xml:space="preserve"> </w:t>
      </w:r>
      <w:r w:rsidRPr="00F14637">
        <w:rPr>
          <w:rFonts w:ascii="Times New Roman" w:hAnsi="Times New Roman" w:cs="Times New Roman"/>
        </w:rPr>
        <w:t>Exhibit 3. Highest 2026 Median Home Values by County</w:t>
      </w:r>
      <w:r>
        <w:rPr>
          <w:rStyle w:val="FootnoteReference"/>
          <w:rFonts w:ascii="Times New Roman" w:hAnsi="Times New Roman" w:cs="Times New Roman"/>
        </w:rPr>
        <w:footnoteReference w:id="5"/>
      </w:r>
    </w:p>
    <w:p w14:paraId="33F6254F" w14:textId="77777777" w:rsidR="00FE1748" w:rsidRPr="00434A22" w:rsidRDefault="00FE1748" w:rsidP="005E5873">
      <w:pPr>
        <w:rPr>
          <w:rFonts w:ascii="Times New Roman" w:hAnsi="Times New Roman" w:cs="Times New Roman"/>
        </w:rPr>
      </w:pPr>
    </w:p>
    <w:p w14:paraId="05021F38" w14:textId="77777777" w:rsidR="00FE1748" w:rsidRPr="00434A22" w:rsidRDefault="00FE1748" w:rsidP="005E5873">
      <w:pPr>
        <w:rPr>
          <w:rFonts w:ascii="Times New Roman" w:hAnsi="Times New Roman" w:cs="Times New Roman"/>
        </w:rPr>
      </w:pPr>
    </w:p>
    <w:p w14:paraId="3D7460D0" w14:textId="77777777" w:rsidR="00FE1748" w:rsidRPr="00D174CA" w:rsidRDefault="00FE1748" w:rsidP="005E5873">
      <w:pPr>
        <w:pStyle w:val="Heading3"/>
        <w:rPr>
          <w:rFonts w:ascii="Times New Roman" w:hAnsi="Times New Roman" w:cs="Times New Roman"/>
          <w:b/>
          <w:bCs/>
        </w:rPr>
      </w:pPr>
      <w:r w:rsidRPr="00D174CA">
        <w:rPr>
          <w:rFonts w:ascii="Times New Roman" w:hAnsi="Times New Roman" w:cs="Times New Roman"/>
          <w:b/>
          <w:bCs/>
          <w:noProof/>
        </w:rPr>
        <w:drawing>
          <wp:anchor distT="0" distB="0" distL="114300" distR="114300" simplePos="0" relativeHeight="251661312" behindDoc="0" locked="0" layoutInCell="1" allowOverlap="1" wp14:anchorId="0AD778C0" wp14:editId="07400A30">
            <wp:simplePos x="0" y="0"/>
            <wp:positionH relativeFrom="column">
              <wp:posOffset>0</wp:posOffset>
            </wp:positionH>
            <wp:positionV relativeFrom="page">
              <wp:posOffset>3093720</wp:posOffset>
            </wp:positionV>
            <wp:extent cx="5913120" cy="3200400"/>
            <wp:effectExtent l="0" t="0" r="0" b="0"/>
            <wp:wrapSquare wrapText="bothSides"/>
            <wp:docPr id="5401616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sidRPr="00D174CA">
        <w:rPr>
          <w:rFonts w:ascii="Times New Roman" w:hAnsi="Times New Roman" w:cs="Times New Roman"/>
          <w:b/>
          <w:bCs/>
        </w:rPr>
        <w:t>Why This Matters</w:t>
      </w:r>
    </w:p>
    <w:p w14:paraId="34B2F19E" w14:textId="77777777" w:rsidR="00FE1748" w:rsidRPr="00434A22" w:rsidRDefault="00FE1748" w:rsidP="005E5873">
      <w:pPr>
        <w:pStyle w:val="origin-typography"/>
      </w:pPr>
      <w:r w:rsidRPr="00434A22">
        <w:t>When median home values are between roughly $550,000 and $760,000 in many counties, a modest subsidy cannot carry the burden of affordability. Without producing more homes for sale, public assistance simply helps a limited number of buyers compete for scarce and expensive units.</w:t>
      </w:r>
    </w:p>
    <w:p w14:paraId="4FEBFD02" w14:textId="77777777" w:rsidR="00FE1748" w:rsidRPr="00434A22" w:rsidRDefault="00FE1748" w:rsidP="005E5873">
      <w:pPr>
        <w:rPr>
          <w:rFonts w:ascii="Times New Roman" w:hAnsi="Times New Roman" w:cs="Times New Roman"/>
        </w:rPr>
      </w:pPr>
      <w:r>
        <w:rPr>
          <w:rFonts w:ascii="Times New Roman" w:hAnsi="Times New Roman" w:cs="Times New Roman"/>
        </w:rPr>
        <w:pict w14:anchorId="1851E9C0">
          <v:rect id="_x0000_i1067" style="width:0;height:1.5pt" o:hralign="center" o:hrstd="t" o:hr="t" fillcolor="#a0a0a0" stroked="f"/>
        </w:pict>
      </w:r>
    </w:p>
    <w:p w14:paraId="2B5621ED" w14:textId="77777777" w:rsidR="00FE1748" w:rsidRPr="00434A22" w:rsidRDefault="00FE1748" w:rsidP="005E5873">
      <w:pPr>
        <w:rPr>
          <w:rFonts w:ascii="Times New Roman" w:eastAsiaTheme="majorEastAsia" w:hAnsi="Times New Roman" w:cs="Times New Roman"/>
          <w:color w:val="B76E0B" w:themeColor="accent1" w:themeShade="BF"/>
          <w:sz w:val="28"/>
          <w:szCs w:val="28"/>
        </w:rPr>
      </w:pPr>
      <w:r w:rsidRPr="00434A22">
        <w:rPr>
          <w:rFonts w:ascii="Times New Roman" w:hAnsi="Times New Roman" w:cs="Times New Roman"/>
        </w:rPr>
        <w:br w:type="page"/>
      </w:r>
    </w:p>
    <w:p w14:paraId="22603FAA" w14:textId="77777777" w:rsidR="00FE1748" w:rsidRPr="00E354AD" w:rsidRDefault="00FE1748" w:rsidP="005E5873">
      <w:pPr>
        <w:pStyle w:val="Heading2"/>
        <w:rPr>
          <w:rFonts w:ascii="Times New Roman" w:hAnsi="Times New Roman" w:cs="Times New Roman"/>
          <w:b w:val="0"/>
          <w:bCs/>
          <w:color w:val="auto"/>
        </w:rPr>
      </w:pPr>
      <w:r w:rsidRPr="00E354AD">
        <w:rPr>
          <w:rFonts w:ascii="Segoe UI Emoji" w:hAnsi="Segoe UI Emoji" w:cs="Segoe UI Emoji"/>
          <w:bCs/>
          <w:color w:val="auto"/>
        </w:rPr>
        <w:lastRenderedPageBreak/>
        <w:t>🟧</w:t>
      </w:r>
      <w:r w:rsidRPr="00E354AD">
        <w:rPr>
          <w:rFonts w:ascii="Times New Roman" w:hAnsi="Times New Roman" w:cs="Times New Roman"/>
          <w:bCs/>
          <w:color w:val="auto"/>
        </w:rPr>
        <w:t xml:space="preserve"> Finding 4: Home Prices Increased Rapidly From 2019 to 2026</w:t>
      </w:r>
    </w:p>
    <w:p w14:paraId="617729EF" w14:textId="77777777" w:rsidR="00FE1748" w:rsidRPr="00434A22" w:rsidRDefault="00FE1748" w:rsidP="005E5873">
      <w:pPr>
        <w:pStyle w:val="origin-typography"/>
      </w:pPr>
      <w:r w:rsidRPr="00434A22">
        <w:t>The data show that New Jersey’s average county home value increased from approximately $302,890 in 2019 to $527,048 in 2026.</w:t>
      </w:r>
    </w:p>
    <w:p w14:paraId="3390931C" w14:textId="77777777" w:rsidR="00FE1748" w:rsidRPr="00434A22" w:rsidRDefault="00FE1748" w:rsidP="005E5873">
      <w:pPr>
        <w:pStyle w:val="Heading3"/>
        <w:rPr>
          <w:rFonts w:ascii="Times New Roman" w:hAnsi="Times New Roman" w:cs="Times New Roman"/>
          <w:b/>
          <w:bCs/>
        </w:rPr>
      </w:pPr>
      <w:r w:rsidRPr="0032113F">
        <w:rPr>
          <w:rFonts w:ascii="Segoe UI Emoji" w:hAnsi="Segoe UI Emoji" w:cs="Segoe UI Emoji"/>
        </w:rPr>
        <w:t>🟧</w:t>
      </w:r>
      <w:r w:rsidRPr="0032113F">
        <w:rPr>
          <w:rFonts w:ascii="Times New Roman" w:hAnsi="Times New Roman" w:cs="Times New Roman"/>
        </w:rPr>
        <w:t xml:space="preserve"> </w:t>
      </w:r>
      <w:r w:rsidRPr="00D174CA">
        <w:rPr>
          <w:rFonts w:ascii="Times New Roman" w:hAnsi="Times New Roman" w:cs="Times New Roman"/>
        </w:rPr>
        <w:t>Exhibit 4. Rising Home Values, 2019–2026</w:t>
      </w:r>
      <w:r>
        <w:rPr>
          <w:rStyle w:val="FootnoteReference"/>
          <w:rFonts w:ascii="Times New Roman" w:hAnsi="Times New Roman" w:cs="Times New Roman"/>
        </w:rPr>
        <w:footnoteReference w:id="6"/>
      </w:r>
    </w:p>
    <w:p w14:paraId="4C68787B" w14:textId="77777777" w:rsidR="00FE1748" w:rsidRPr="00434A22" w:rsidRDefault="00FE1748" w:rsidP="005E5873">
      <w:pPr>
        <w:rPr>
          <w:rFonts w:ascii="Times New Roman" w:hAnsi="Times New Roman" w:cs="Times New Roman"/>
        </w:rPr>
      </w:pPr>
    </w:p>
    <w:tbl>
      <w:tblPr>
        <w:tblStyle w:val="ListTable7Colorful-Accent1"/>
        <w:tblW w:w="0" w:type="auto"/>
        <w:tblLook w:val="04A0" w:firstRow="1" w:lastRow="0" w:firstColumn="1" w:lastColumn="0" w:noHBand="0" w:noVBand="1"/>
      </w:tblPr>
      <w:tblGrid>
        <w:gridCol w:w="1316"/>
        <w:gridCol w:w="1695"/>
        <w:gridCol w:w="1695"/>
        <w:gridCol w:w="2092"/>
        <w:gridCol w:w="1750"/>
      </w:tblGrid>
      <w:tr w:rsidR="00FE1748" w:rsidRPr="00434A22" w14:paraId="3CF27ED0" w14:textId="77777777" w:rsidTr="005E587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EE2E252"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County</w:t>
            </w:r>
          </w:p>
        </w:tc>
        <w:tc>
          <w:tcPr>
            <w:tcW w:w="0" w:type="auto"/>
            <w:hideMark/>
          </w:tcPr>
          <w:p w14:paraId="4111433F"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June 2019 Price</w:t>
            </w:r>
          </w:p>
        </w:tc>
        <w:tc>
          <w:tcPr>
            <w:tcW w:w="0" w:type="auto"/>
            <w:hideMark/>
          </w:tcPr>
          <w:p w14:paraId="4E4DB176"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June 2026 Price</w:t>
            </w:r>
          </w:p>
        </w:tc>
        <w:tc>
          <w:tcPr>
            <w:tcW w:w="0" w:type="auto"/>
            <w:hideMark/>
          </w:tcPr>
          <w:p w14:paraId="159DD316"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Seven-Year Increase</w:t>
            </w:r>
          </w:p>
        </w:tc>
        <w:tc>
          <w:tcPr>
            <w:tcW w:w="0" w:type="auto"/>
            <w:hideMark/>
          </w:tcPr>
          <w:p w14:paraId="62B7B6F3"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Percent Increase</w:t>
            </w:r>
          </w:p>
        </w:tc>
      </w:tr>
      <w:tr w:rsidR="00FE1748" w:rsidRPr="00434A22" w14:paraId="14D87869"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F7D90A"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Sussex</w:t>
            </w:r>
          </w:p>
        </w:tc>
        <w:tc>
          <w:tcPr>
            <w:tcW w:w="0" w:type="auto"/>
            <w:hideMark/>
          </w:tcPr>
          <w:p w14:paraId="684E288D"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$249,900</w:t>
            </w:r>
          </w:p>
        </w:tc>
        <w:tc>
          <w:tcPr>
            <w:tcW w:w="0" w:type="auto"/>
            <w:hideMark/>
          </w:tcPr>
          <w:p w14:paraId="197693D9"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$638,333</w:t>
            </w:r>
          </w:p>
        </w:tc>
        <w:tc>
          <w:tcPr>
            <w:tcW w:w="0" w:type="auto"/>
            <w:hideMark/>
          </w:tcPr>
          <w:p w14:paraId="7512B183"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$388,433</w:t>
            </w:r>
          </w:p>
        </w:tc>
        <w:tc>
          <w:tcPr>
            <w:tcW w:w="0" w:type="auto"/>
            <w:hideMark/>
          </w:tcPr>
          <w:p w14:paraId="6930EBF1"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155%</w:t>
            </w:r>
          </w:p>
        </w:tc>
      </w:tr>
      <w:tr w:rsidR="00FE1748" w:rsidRPr="00434A22" w14:paraId="53E85E01"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4F901149"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Cape May</w:t>
            </w:r>
          </w:p>
        </w:tc>
        <w:tc>
          <w:tcPr>
            <w:tcW w:w="0" w:type="auto"/>
            <w:hideMark/>
          </w:tcPr>
          <w:p w14:paraId="64F3FFC0"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$279,000</w:t>
            </w:r>
          </w:p>
        </w:tc>
        <w:tc>
          <w:tcPr>
            <w:tcW w:w="0" w:type="auto"/>
            <w:hideMark/>
          </w:tcPr>
          <w:p w14:paraId="7FA7479B"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$694,000</w:t>
            </w:r>
          </w:p>
        </w:tc>
        <w:tc>
          <w:tcPr>
            <w:tcW w:w="0" w:type="auto"/>
            <w:hideMark/>
          </w:tcPr>
          <w:p w14:paraId="4F7303DD"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$415,000</w:t>
            </w:r>
          </w:p>
        </w:tc>
        <w:tc>
          <w:tcPr>
            <w:tcW w:w="0" w:type="auto"/>
            <w:hideMark/>
          </w:tcPr>
          <w:p w14:paraId="0A68072F"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149%</w:t>
            </w:r>
          </w:p>
        </w:tc>
      </w:tr>
      <w:tr w:rsidR="00FE1748" w:rsidRPr="00434A22" w14:paraId="5AED1B12"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6B3497"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Warren</w:t>
            </w:r>
          </w:p>
        </w:tc>
        <w:tc>
          <w:tcPr>
            <w:tcW w:w="0" w:type="auto"/>
            <w:hideMark/>
          </w:tcPr>
          <w:p w14:paraId="6FCD51BB"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$235,000</w:t>
            </w:r>
          </w:p>
        </w:tc>
        <w:tc>
          <w:tcPr>
            <w:tcW w:w="0" w:type="auto"/>
            <w:hideMark/>
          </w:tcPr>
          <w:p w14:paraId="32C55AB6"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$522,500</w:t>
            </w:r>
          </w:p>
        </w:tc>
        <w:tc>
          <w:tcPr>
            <w:tcW w:w="0" w:type="auto"/>
            <w:hideMark/>
          </w:tcPr>
          <w:p w14:paraId="5835C19F"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$287,500</w:t>
            </w:r>
          </w:p>
        </w:tc>
        <w:tc>
          <w:tcPr>
            <w:tcW w:w="0" w:type="auto"/>
            <w:hideMark/>
          </w:tcPr>
          <w:p w14:paraId="2151D1DF"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122%</w:t>
            </w:r>
          </w:p>
        </w:tc>
      </w:tr>
      <w:tr w:rsidR="00FE1748" w:rsidRPr="00434A22" w14:paraId="3B1BD795"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5534712E"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Passaic</w:t>
            </w:r>
          </w:p>
        </w:tc>
        <w:tc>
          <w:tcPr>
            <w:tcW w:w="0" w:type="auto"/>
            <w:hideMark/>
          </w:tcPr>
          <w:p w14:paraId="57E6E446"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$310,000</w:t>
            </w:r>
          </w:p>
        </w:tc>
        <w:tc>
          <w:tcPr>
            <w:tcW w:w="0" w:type="auto"/>
            <w:hideMark/>
          </w:tcPr>
          <w:p w14:paraId="4FD04737"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$606,000</w:t>
            </w:r>
          </w:p>
        </w:tc>
        <w:tc>
          <w:tcPr>
            <w:tcW w:w="0" w:type="auto"/>
            <w:hideMark/>
          </w:tcPr>
          <w:p w14:paraId="0448F781"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$296,000</w:t>
            </w:r>
          </w:p>
        </w:tc>
        <w:tc>
          <w:tcPr>
            <w:tcW w:w="0" w:type="auto"/>
            <w:hideMark/>
          </w:tcPr>
          <w:p w14:paraId="7E4BC043"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95%</w:t>
            </w:r>
          </w:p>
        </w:tc>
      </w:tr>
      <w:tr w:rsidR="00FE1748" w:rsidRPr="00434A22" w14:paraId="74D29D99"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2A31BE"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Camden</w:t>
            </w:r>
          </w:p>
        </w:tc>
        <w:tc>
          <w:tcPr>
            <w:tcW w:w="0" w:type="auto"/>
            <w:hideMark/>
          </w:tcPr>
          <w:p w14:paraId="0BC30BDC"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$185,000</w:t>
            </w:r>
          </w:p>
        </w:tc>
        <w:tc>
          <w:tcPr>
            <w:tcW w:w="0" w:type="auto"/>
            <w:hideMark/>
          </w:tcPr>
          <w:p w14:paraId="54AAB57C"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$349,667</w:t>
            </w:r>
          </w:p>
        </w:tc>
        <w:tc>
          <w:tcPr>
            <w:tcW w:w="0" w:type="auto"/>
            <w:hideMark/>
          </w:tcPr>
          <w:p w14:paraId="34014996"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$164,667</w:t>
            </w:r>
          </w:p>
        </w:tc>
        <w:tc>
          <w:tcPr>
            <w:tcW w:w="0" w:type="auto"/>
            <w:hideMark/>
          </w:tcPr>
          <w:p w14:paraId="3070DCC7"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89%</w:t>
            </w:r>
          </w:p>
        </w:tc>
      </w:tr>
      <w:tr w:rsidR="00FE1748" w:rsidRPr="00434A22" w14:paraId="71352635"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4EF4F895"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Salem</w:t>
            </w:r>
          </w:p>
        </w:tc>
        <w:tc>
          <w:tcPr>
            <w:tcW w:w="0" w:type="auto"/>
            <w:hideMark/>
          </w:tcPr>
          <w:p w14:paraId="26F14BAA"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$149,000</w:t>
            </w:r>
          </w:p>
        </w:tc>
        <w:tc>
          <w:tcPr>
            <w:tcW w:w="0" w:type="auto"/>
            <w:hideMark/>
          </w:tcPr>
          <w:p w14:paraId="11F082F1"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$279,900</w:t>
            </w:r>
          </w:p>
        </w:tc>
        <w:tc>
          <w:tcPr>
            <w:tcW w:w="0" w:type="auto"/>
            <w:hideMark/>
          </w:tcPr>
          <w:p w14:paraId="52DC044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$130,900</w:t>
            </w:r>
          </w:p>
        </w:tc>
        <w:tc>
          <w:tcPr>
            <w:tcW w:w="0" w:type="auto"/>
            <w:hideMark/>
          </w:tcPr>
          <w:p w14:paraId="5D9D28DA"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88%</w:t>
            </w:r>
          </w:p>
        </w:tc>
      </w:tr>
      <w:tr w:rsidR="00FE1748" w:rsidRPr="00434A22" w14:paraId="5EC660B4"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07B87D"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Atlantic</w:t>
            </w:r>
          </w:p>
        </w:tc>
        <w:tc>
          <w:tcPr>
            <w:tcW w:w="0" w:type="auto"/>
            <w:hideMark/>
          </w:tcPr>
          <w:p w14:paraId="063D695B"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$200,000</w:t>
            </w:r>
          </w:p>
        </w:tc>
        <w:tc>
          <w:tcPr>
            <w:tcW w:w="0" w:type="auto"/>
            <w:hideMark/>
          </w:tcPr>
          <w:p w14:paraId="7CFF88A5"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$349,000</w:t>
            </w:r>
          </w:p>
        </w:tc>
        <w:tc>
          <w:tcPr>
            <w:tcW w:w="0" w:type="auto"/>
            <w:hideMark/>
          </w:tcPr>
          <w:p w14:paraId="722A11CE"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$149,000</w:t>
            </w:r>
          </w:p>
        </w:tc>
        <w:tc>
          <w:tcPr>
            <w:tcW w:w="0" w:type="auto"/>
            <w:hideMark/>
          </w:tcPr>
          <w:p w14:paraId="52FA1361"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75%</w:t>
            </w:r>
          </w:p>
        </w:tc>
      </w:tr>
      <w:tr w:rsidR="00FE1748" w:rsidRPr="00434A22" w14:paraId="2B9142CA"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7B78CBE1"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Ocean</w:t>
            </w:r>
          </w:p>
        </w:tc>
        <w:tc>
          <w:tcPr>
            <w:tcW w:w="0" w:type="auto"/>
            <w:hideMark/>
          </w:tcPr>
          <w:p w14:paraId="6432658E"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$272,000</w:t>
            </w:r>
          </w:p>
        </w:tc>
        <w:tc>
          <w:tcPr>
            <w:tcW w:w="0" w:type="auto"/>
            <w:hideMark/>
          </w:tcPr>
          <w:p w14:paraId="7C6EEB4C"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$475,667</w:t>
            </w:r>
          </w:p>
        </w:tc>
        <w:tc>
          <w:tcPr>
            <w:tcW w:w="0" w:type="auto"/>
            <w:hideMark/>
          </w:tcPr>
          <w:p w14:paraId="4645C655"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$203,667</w:t>
            </w:r>
          </w:p>
        </w:tc>
        <w:tc>
          <w:tcPr>
            <w:tcW w:w="0" w:type="auto"/>
            <w:hideMark/>
          </w:tcPr>
          <w:p w14:paraId="7DD6914D"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75%</w:t>
            </w:r>
          </w:p>
        </w:tc>
      </w:tr>
      <w:tr w:rsidR="00FE1748" w:rsidRPr="00434A22" w14:paraId="0D2C79CE"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BC171F"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Union</w:t>
            </w:r>
          </w:p>
        </w:tc>
        <w:tc>
          <w:tcPr>
            <w:tcW w:w="0" w:type="auto"/>
            <w:hideMark/>
          </w:tcPr>
          <w:p w14:paraId="10CFF501"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$360,000</w:t>
            </w:r>
          </w:p>
        </w:tc>
        <w:tc>
          <w:tcPr>
            <w:tcW w:w="0" w:type="auto"/>
            <w:hideMark/>
          </w:tcPr>
          <w:p w14:paraId="14F6DAD8"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$628,167</w:t>
            </w:r>
          </w:p>
        </w:tc>
        <w:tc>
          <w:tcPr>
            <w:tcW w:w="0" w:type="auto"/>
            <w:hideMark/>
          </w:tcPr>
          <w:p w14:paraId="5D363BC7"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$268,167</w:t>
            </w:r>
          </w:p>
        </w:tc>
        <w:tc>
          <w:tcPr>
            <w:tcW w:w="0" w:type="auto"/>
            <w:hideMark/>
          </w:tcPr>
          <w:p w14:paraId="04A01AB0"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74%</w:t>
            </w:r>
          </w:p>
        </w:tc>
      </w:tr>
      <w:tr w:rsidR="00FE1748" w:rsidRPr="00434A22" w14:paraId="6AAC780F"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7E497939"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Gloucester</w:t>
            </w:r>
          </w:p>
        </w:tc>
        <w:tc>
          <w:tcPr>
            <w:tcW w:w="0" w:type="auto"/>
            <w:hideMark/>
          </w:tcPr>
          <w:p w14:paraId="63BC720C"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$206,000</w:t>
            </w:r>
          </w:p>
        </w:tc>
        <w:tc>
          <w:tcPr>
            <w:tcW w:w="0" w:type="auto"/>
            <w:hideMark/>
          </w:tcPr>
          <w:p w14:paraId="4F701764"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$357,483</w:t>
            </w:r>
          </w:p>
        </w:tc>
        <w:tc>
          <w:tcPr>
            <w:tcW w:w="0" w:type="auto"/>
            <w:hideMark/>
          </w:tcPr>
          <w:p w14:paraId="1A3E39C9"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$151,483</w:t>
            </w:r>
          </w:p>
        </w:tc>
        <w:tc>
          <w:tcPr>
            <w:tcW w:w="0" w:type="auto"/>
            <w:hideMark/>
          </w:tcPr>
          <w:p w14:paraId="603BA16B"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74%</w:t>
            </w:r>
          </w:p>
        </w:tc>
      </w:tr>
      <w:tr w:rsidR="00FE1748" w:rsidRPr="00434A22" w14:paraId="2DEAD3A0"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86D0C1"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Hudson</w:t>
            </w:r>
          </w:p>
        </w:tc>
        <w:tc>
          <w:tcPr>
            <w:tcW w:w="0" w:type="auto"/>
            <w:hideMark/>
          </w:tcPr>
          <w:p w14:paraId="50037F3D"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$395,000</w:t>
            </w:r>
          </w:p>
        </w:tc>
        <w:tc>
          <w:tcPr>
            <w:tcW w:w="0" w:type="auto"/>
            <w:hideMark/>
          </w:tcPr>
          <w:p w14:paraId="31351C34"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$674,917</w:t>
            </w:r>
          </w:p>
        </w:tc>
        <w:tc>
          <w:tcPr>
            <w:tcW w:w="0" w:type="auto"/>
            <w:hideMark/>
          </w:tcPr>
          <w:p w14:paraId="5D87D6F2"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$279,917</w:t>
            </w:r>
          </w:p>
        </w:tc>
        <w:tc>
          <w:tcPr>
            <w:tcW w:w="0" w:type="auto"/>
            <w:hideMark/>
          </w:tcPr>
          <w:p w14:paraId="3F4DFCDF"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71%</w:t>
            </w:r>
          </w:p>
        </w:tc>
      </w:tr>
      <w:tr w:rsidR="00FE1748" w:rsidRPr="00434A22" w14:paraId="74B4533F"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24C56816"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Cumberland</w:t>
            </w:r>
          </w:p>
        </w:tc>
        <w:tc>
          <w:tcPr>
            <w:tcW w:w="0" w:type="auto"/>
            <w:hideMark/>
          </w:tcPr>
          <w:p w14:paraId="4436C7FE"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$157,000</w:t>
            </w:r>
          </w:p>
        </w:tc>
        <w:tc>
          <w:tcPr>
            <w:tcW w:w="0" w:type="auto"/>
            <w:hideMark/>
          </w:tcPr>
          <w:p w14:paraId="04A3375D"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$263,000</w:t>
            </w:r>
          </w:p>
        </w:tc>
        <w:tc>
          <w:tcPr>
            <w:tcW w:w="0" w:type="auto"/>
            <w:hideMark/>
          </w:tcPr>
          <w:p w14:paraId="048FA755"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$106,000</w:t>
            </w:r>
          </w:p>
        </w:tc>
        <w:tc>
          <w:tcPr>
            <w:tcW w:w="0" w:type="auto"/>
            <w:hideMark/>
          </w:tcPr>
          <w:p w14:paraId="1613125E"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68%</w:t>
            </w:r>
          </w:p>
        </w:tc>
      </w:tr>
      <w:tr w:rsidR="00FE1748" w:rsidRPr="00434A22" w14:paraId="26BA4978"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EA9372"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Burlington</w:t>
            </w:r>
          </w:p>
        </w:tc>
        <w:tc>
          <w:tcPr>
            <w:tcW w:w="0" w:type="auto"/>
            <w:hideMark/>
          </w:tcPr>
          <w:p w14:paraId="7627441E"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$228,000</w:t>
            </w:r>
          </w:p>
        </w:tc>
        <w:tc>
          <w:tcPr>
            <w:tcW w:w="0" w:type="auto"/>
            <w:hideMark/>
          </w:tcPr>
          <w:p w14:paraId="5B6D2C95"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$381,667</w:t>
            </w:r>
          </w:p>
        </w:tc>
        <w:tc>
          <w:tcPr>
            <w:tcW w:w="0" w:type="auto"/>
            <w:hideMark/>
          </w:tcPr>
          <w:p w14:paraId="0654295F"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$153,667</w:t>
            </w:r>
          </w:p>
        </w:tc>
        <w:tc>
          <w:tcPr>
            <w:tcW w:w="0" w:type="auto"/>
            <w:hideMark/>
          </w:tcPr>
          <w:p w14:paraId="65C3E1CC"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67%</w:t>
            </w:r>
          </w:p>
        </w:tc>
      </w:tr>
      <w:tr w:rsidR="00FE1748" w:rsidRPr="00434A22" w14:paraId="25400ECB"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53A14BD2"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Essex</w:t>
            </w:r>
          </w:p>
        </w:tc>
        <w:tc>
          <w:tcPr>
            <w:tcW w:w="0" w:type="auto"/>
            <w:hideMark/>
          </w:tcPr>
          <w:p w14:paraId="6DE69F36"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$385,000</w:t>
            </w:r>
          </w:p>
        </w:tc>
        <w:tc>
          <w:tcPr>
            <w:tcW w:w="0" w:type="auto"/>
            <w:hideMark/>
          </w:tcPr>
          <w:p w14:paraId="4376D859"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$638,333</w:t>
            </w:r>
          </w:p>
        </w:tc>
        <w:tc>
          <w:tcPr>
            <w:tcW w:w="0" w:type="auto"/>
            <w:hideMark/>
          </w:tcPr>
          <w:p w14:paraId="4156A061"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$253,333</w:t>
            </w:r>
          </w:p>
        </w:tc>
        <w:tc>
          <w:tcPr>
            <w:tcW w:w="0" w:type="auto"/>
            <w:hideMark/>
          </w:tcPr>
          <w:p w14:paraId="33537F1B"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66%</w:t>
            </w:r>
          </w:p>
        </w:tc>
      </w:tr>
      <w:tr w:rsidR="00FE1748" w:rsidRPr="00434A22" w14:paraId="08FE4D20"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844F60"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Monmouth</w:t>
            </w:r>
          </w:p>
        </w:tc>
        <w:tc>
          <w:tcPr>
            <w:tcW w:w="0" w:type="auto"/>
            <w:hideMark/>
          </w:tcPr>
          <w:p w14:paraId="5FE5D03E"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$420,000</w:t>
            </w:r>
          </w:p>
        </w:tc>
        <w:tc>
          <w:tcPr>
            <w:tcW w:w="0" w:type="auto"/>
            <w:hideMark/>
          </w:tcPr>
          <w:p w14:paraId="0E72C779"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$695,375</w:t>
            </w:r>
          </w:p>
        </w:tc>
        <w:tc>
          <w:tcPr>
            <w:tcW w:w="0" w:type="auto"/>
            <w:hideMark/>
          </w:tcPr>
          <w:p w14:paraId="645B247A"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$275,375</w:t>
            </w:r>
          </w:p>
        </w:tc>
        <w:tc>
          <w:tcPr>
            <w:tcW w:w="0" w:type="auto"/>
            <w:hideMark/>
          </w:tcPr>
          <w:p w14:paraId="17934D04"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66%</w:t>
            </w:r>
          </w:p>
        </w:tc>
      </w:tr>
      <w:tr w:rsidR="00FE1748" w:rsidRPr="00434A22" w14:paraId="49E74B51"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1EE180B8"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Middlesex</w:t>
            </w:r>
          </w:p>
        </w:tc>
        <w:tc>
          <w:tcPr>
            <w:tcW w:w="0" w:type="auto"/>
            <w:hideMark/>
          </w:tcPr>
          <w:p w14:paraId="4C13E03F"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$329,900</w:t>
            </w:r>
          </w:p>
        </w:tc>
        <w:tc>
          <w:tcPr>
            <w:tcW w:w="0" w:type="auto"/>
            <w:hideMark/>
          </w:tcPr>
          <w:p w14:paraId="318E9CB7"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$521,667</w:t>
            </w:r>
          </w:p>
        </w:tc>
        <w:tc>
          <w:tcPr>
            <w:tcW w:w="0" w:type="auto"/>
            <w:hideMark/>
          </w:tcPr>
          <w:p w14:paraId="471EEB6D"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$191,767</w:t>
            </w:r>
          </w:p>
        </w:tc>
        <w:tc>
          <w:tcPr>
            <w:tcW w:w="0" w:type="auto"/>
            <w:hideMark/>
          </w:tcPr>
          <w:p w14:paraId="083A915D"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58%</w:t>
            </w:r>
          </w:p>
        </w:tc>
      </w:tr>
      <w:tr w:rsidR="00FE1748" w:rsidRPr="00434A22" w14:paraId="3018A477"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41348C"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Bergen</w:t>
            </w:r>
          </w:p>
        </w:tc>
        <w:tc>
          <w:tcPr>
            <w:tcW w:w="0" w:type="auto"/>
            <w:hideMark/>
          </w:tcPr>
          <w:p w14:paraId="6589BBB2"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$482,000</w:t>
            </w:r>
          </w:p>
        </w:tc>
        <w:tc>
          <w:tcPr>
            <w:tcW w:w="0" w:type="auto"/>
            <w:hideMark/>
          </w:tcPr>
          <w:p w14:paraId="6FF27786"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$760,000</w:t>
            </w:r>
          </w:p>
        </w:tc>
        <w:tc>
          <w:tcPr>
            <w:tcW w:w="0" w:type="auto"/>
            <w:hideMark/>
          </w:tcPr>
          <w:p w14:paraId="43E0440B"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$278,000</w:t>
            </w:r>
          </w:p>
        </w:tc>
        <w:tc>
          <w:tcPr>
            <w:tcW w:w="0" w:type="auto"/>
            <w:hideMark/>
          </w:tcPr>
          <w:p w14:paraId="0D9F3749"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58%</w:t>
            </w:r>
          </w:p>
        </w:tc>
      </w:tr>
      <w:tr w:rsidR="00FE1748" w:rsidRPr="00434A22" w14:paraId="46CF8A80"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3C6A44DE"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Mercer</w:t>
            </w:r>
          </w:p>
        </w:tc>
        <w:tc>
          <w:tcPr>
            <w:tcW w:w="0" w:type="auto"/>
            <w:hideMark/>
          </w:tcPr>
          <w:p w14:paraId="53E0D81B"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$280,000</w:t>
            </w:r>
          </w:p>
        </w:tc>
        <w:tc>
          <w:tcPr>
            <w:tcW w:w="0" w:type="auto"/>
            <w:hideMark/>
          </w:tcPr>
          <w:p w14:paraId="73CF6D61"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$420,833</w:t>
            </w:r>
          </w:p>
        </w:tc>
        <w:tc>
          <w:tcPr>
            <w:tcW w:w="0" w:type="auto"/>
            <w:hideMark/>
          </w:tcPr>
          <w:p w14:paraId="77A41FD1"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$140,833</w:t>
            </w:r>
          </w:p>
        </w:tc>
        <w:tc>
          <w:tcPr>
            <w:tcW w:w="0" w:type="auto"/>
            <w:hideMark/>
          </w:tcPr>
          <w:p w14:paraId="6E657F3F"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50%</w:t>
            </w:r>
          </w:p>
        </w:tc>
      </w:tr>
      <w:tr w:rsidR="00FE1748" w:rsidRPr="00434A22" w14:paraId="2EAAC785"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0118A8"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Morris</w:t>
            </w:r>
          </w:p>
        </w:tc>
        <w:tc>
          <w:tcPr>
            <w:tcW w:w="0" w:type="auto"/>
            <w:hideMark/>
          </w:tcPr>
          <w:p w14:paraId="7C1BBBCB"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$448,000</w:t>
            </w:r>
          </w:p>
        </w:tc>
        <w:tc>
          <w:tcPr>
            <w:tcW w:w="0" w:type="auto"/>
            <w:hideMark/>
          </w:tcPr>
          <w:p w14:paraId="4F0067FC"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$668,833</w:t>
            </w:r>
          </w:p>
        </w:tc>
        <w:tc>
          <w:tcPr>
            <w:tcW w:w="0" w:type="auto"/>
            <w:hideMark/>
          </w:tcPr>
          <w:p w14:paraId="5DA21785"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$220,833</w:t>
            </w:r>
          </w:p>
        </w:tc>
        <w:tc>
          <w:tcPr>
            <w:tcW w:w="0" w:type="auto"/>
            <w:hideMark/>
          </w:tcPr>
          <w:p w14:paraId="2E6D3584"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49%</w:t>
            </w:r>
          </w:p>
        </w:tc>
      </w:tr>
      <w:tr w:rsidR="00FE1748" w:rsidRPr="00434A22" w14:paraId="28BDF150"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68B5067E"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Hunterdon</w:t>
            </w:r>
          </w:p>
        </w:tc>
        <w:tc>
          <w:tcPr>
            <w:tcW w:w="0" w:type="auto"/>
            <w:hideMark/>
          </w:tcPr>
          <w:p w14:paraId="03C6ED10"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$390,000</w:t>
            </w:r>
          </w:p>
        </w:tc>
        <w:tc>
          <w:tcPr>
            <w:tcW w:w="0" w:type="auto"/>
            <w:hideMark/>
          </w:tcPr>
          <w:p w14:paraId="018137C3"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$563,833</w:t>
            </w:r>
          </w:p>
        </w:tc>
        <w:tc>
          <w:tcPr>
            <w:tcW w:w="0" w:type="auto"/>
            <w:hideMark/>
          </w:tcPr>
          <w:p w14:paraId="5544E91D"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$173,833</w:t>
            </w:r>
          </w:p>
        </w:tc>
        <w:tc>
          <w:tcPr>
            <w:tcW w:w="0" w:type="auto"/>
            <w:hideMark/>
          </w:tcPr>
          <w:p w14:paraId="4FAFDCFF"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45%</w:t>
            </w:r>
          </w:p>
        </w:tc>
      </w:tr>
      <w:tr w:rsidR="00FE1748" w:rsidRPr="00434A22" w14:paraId="43D7B8E3"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DF5944"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Somerset</w:t>
            </w:r>
          </w:p>
        </w:tc>
        <w:tc>
          <w:tcPr>
            <w:tcW w:w="0" w:type="auto"/>
            <w:hideMark/>
          </w:tcPr>
          <w:p w14:paraId="287038F5"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$399,900</w:t>
            </w:r>
          </w:p>
        </w:tc>
        <w:tc>
          <w:tcPr>
            <w:tcW w:w="0" w:type="auto"/>
            <w:hideMark/>
          </w:tcPr>
          <w:p w14:paraId="7445CBC5"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$578,833</w:t>
            </w:r>
          </w:p>
        </w:tc>
        <w:tc>
          <w:tcPr>
            <w:tcW w:w="0" w:type="auto"/>
            <w:hideMark/>
          </w:tcPr>
          <w:p w14:paraId="34A72A52"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$178,933</w:t>
            </w:r>
          </w:p>
        </w:tc>
        <w:tc>
          <w:tcPr>
            <w:tcW w:w="0" w:type="auto"/>
            <w:hideMark/>
          </w:tcPr>
          <w:p w14:paraId="0C0F590B"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45%</w:t>
            </w:r>
          </w:p>
        </w:tc>
      </w:tr>
      <w:tr w:rsidR="00FE1748" w:rsidRPr="00434A22" w14:paraId="6ECC7745"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45DCB7A7"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Average</w:t>
            </w:r>
          </w:p>
        </w:tc>
        <w:tc>
          <w:tcPr>
            <w:tcW w:w="0" w:type="auto"/>
            <w:hideMark/>
          </w:tcPr>
          <w:p w14:paraId="3F7E5DAE"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$302,890</w:t>
            </w:r>
          </w:p>
        </w:tc>
        <w:tc>
          <w:tcPr>
            <w:tcW w:w="0" w:type="auto"/>
            <w:hideMark/>
          </w:tcPr>
          <w:p w14:paraId="6DDCB825"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$527,048</w:t>
            </w:r>
          </w:p>
        </w:tc>
        <w:tc>
          <w:tcPr>
            <w:tcW w:w="0" w:type="auto"/>
            <w:hideMark/>
          </w:tcPr>
          <w:p w14:paraId="47915EC6"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$224,158</w:t>
            </w:r>
          </w:p>
        </w:tc>
        <w:tc>
          <w:tcPr>
            <w:tcW w:w="0" w:type="auto"/>
            <w:hideMark/>
          </w:tcPr>
          <w:p w14:paraId="2EEDAB2C"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78%</w:t>
            </w:r>
          </w:p>
        </w:tc>
      </w:tr>
    </w:tbl>
    <w:p w14:paraId="35088C6D" w14:textId="77777777" w:rsidR="00FE1748" w:rsidRPr="00434A22" w:rsidRDefault="00FE1748" w:rsidP="005E5873">
      <w:pPr>
        <w:rPr>
          <w:rFonts w:ascii="Times New Roman" w:hAnsi="Times New Roman" w:cs="Times New Roman"/>
        </w:rPr>
      </w:pPr>
    </w:p>
    <w:p w14:paraId="23FFFCE7" w14:textId="77777777" w:rsidR="00FE1748" w:rsidRPr="00434A22" w:rsidRDefault="00FE1748" w:rsidP="005E5873">
      <w:pPr>
        <w:pStyle w:val="Heading3"/>
        <w:rPr>
          <w:rFonts w:ascii="Times New Roman" w:hAnsi="Times New Roman" w:cs="Times New Roman"/>
          <w:b/>
          <w:bCs/>
        </w:rPr>
      </w:pPr>
      <w:r w:rsidRPr="00434A22">
        <w:rPr>
          <w:rFonts w:ascii="Times New Roman" w:hAnsi="Times New Roman" w:cs="Times New Roman"/>
          <w:b/>
          <w:bCs/>
        </w:rPr>
        <w:t>Why This Matters</w:t>
      </w:r>
    </w:p>
    <w:p w14:paraId="2E95F273" w14:textId="77777777" w:rsidR="00FE1748" w:rsidRPr="00434A22" w:rsidRDefault="00FE1748" w:rsidP="005E5873">
      <w:pPr>
        <w:pStyle w:val="origin-typography"/>
      </w:pPr>
      <w:r w:rsidRPr="00434A22">
        <w:t>The average county home value increased by more than $224,000 in seven years. This rapid increase has made ownership harder for first-time buyers, renters, young adults, and families with limited savings.</w:t>
      </w:r>
    </w:p>
    <w:p w14:paraId="4982F906" w14:textId="77777777" w:rsidR="00FE1748" w:rsidRPr="007E7D85" w:rsidRDefault="00FE1748" w:rsidP="005E5873">
      <w:pPr>
        <w:rPr>
          <w:rFonts w:ascii="Times New Roman" w:hAnsi="Times New Roman" w:cs="Times New Roman"/>
        </w:rPr>
      </w:pPr>
      <w:r>
        <w:rPr>
          <w:rFonts w:ascii="Times New Roman" w:hAnsi="Times New Roman" w:cs="Times New Roman"/>
        </w:rPr>
        <w:lastRenderedPageBreak/>
        <w:pict w14:anchorId="1981257F">
          <v:rect id="_x0000_i1068" style="width:0;height:1.5pt" o:hralign="center" o:hrstd="t" o:hr="t" fillcolor="#a0a0a0" stroked="f"/>
        </w:pict>
      </w:r>
    </w:p>
    <w:p w14:paraId="40982D74" w14:textId="77777777" w:rsidR="00FE1748" w:rsidRPr="00E354AD" w:rsidRDefault="00FE1748" w:rsidP="005E5873">
      <w:pPr>
        <w:pStyle w:val="Heading2"/>
        <w:rPr>
          <w:rFonts w:ascii="Times New Roman" w:hAnsi="Times New Roman" w:cs="Times New Roman"/>
          <w:b w:val="0"/>
          <w:bCs/>
          <w:color w:val="auto"/>
        </w:rPr>
      </w:pPr>
      <w:r w:rsidRPr="00E354AD">
        <w:rPr>
          <w:rFonts w:ascii="Segoe UI Emoji" w:hAnsi="Segoe UI Emoji" w:cs="Segoe UI Emoji"/>
          <w:bCs/>
          <w:color w:val="auto"/>
        </w:rPr>
        <w:t>🟧</w:t>
      </w:r>
      <w:r w:rsidRPr="00E354AD">
        <w:rPr>
          <w:rFonts w:ascii="Times New Roman" w:hAnsi="Times New Roman" w:cs="Times New Roman"/>
          <w:bCs/>
          <w:color w:val="auto"/>
        </w:rPr>
        <w:t xml:space="preserve"> Finding 5: The State Downpayment Assistance Program Is Not Centered on Lower-Income Working Families</w:t>
      </w:r>
    </w:p>
    <w:p w14:paraId="29147F8D" w14:textId="77777777" w:rsidR="00FE1748" w:rsidRPr="00434A22" w:rsidRDefault="00FE1748" w:rsidP="005E5873">
      <w:pPr>
        <w:pStyle w:val="origin-typography"/>
      </w:pPr>
      <w:r w:rsidRPr="00434A22">
        <w:t xml:space="preserve">The program’s income limits </w:t>
      </w:r>
      <w:r>
        <w:t>are at or above</w:t>
      </w:r>
      <w:r w:rsidRPr="00434A22">
        <w:t xml:space="preserve"> the incomes of many New Jersey households.</w:t>
      </w:r>
    </w:p>
    <w:p w14:paraId="126E17D9" w14:textId="77777777" w:rsidR="00FE1748" w:rsidRPr="00434A22" w:rsidRDefault="00FE1748" w:rsidP="005E5873">
      <w:pPr>
        <w:pStyle w:val="Heading3"/>
        <w:rPr>
          <w:rFonts w:ascii="Times New Roman" w:hAnsi="Times New Roman" w:cs="Times New Roman"/>
          <w:b/>
          <w:bCs/>
        </w:rPr>
      </w:pPr>
      <w:r w:rsidRPr="0032113F">
        <w:rPr>
          <w:rFonts w:ascii="Segoe UI Emoji" w:hAnsi="Segoe UI Emoji" w:cs="Segoe UI Emoji"/>
        </w:rPr>
        <w:t>🟧</w:t>
      </w:r>
      <w:r w:rsidRPr="00434A22">
        <w:rPr>
          <w:rFonts w:ascii="Times New Roman" w:hAnsi="Times New Roman" w:cs="Times New Roman"/>
          <w:b/>
          <w:bCs/>
        </w:rPr>
        <w:t xml:space="preserve"> </w:t>
      </w:r>
      <w:r w:rsidRPr="00FE677B">
        <w:rPr>
          <w:rFonts w:ascii="Times New Roman" w:hAnsi="Times New Roman" w:cs="Times New Roman"/>
        </w:rPr>
        <w:t>Exhibit 5. Approximate Program Income Limits</w:t>
      </w:r>
      <w:r>
        <w:rPr>
          <w:rStyle w:val="FootnoteReference"/>
          <w:rFonts w:ascii="Times New Roman" w:hAnsi="Times New Roman" w:cs="Times New Roman"/>
        </w:rPr>
        <w:footnoteReference w:id="7"/>
      </w:r>
    </w:p>
    <w:p w14:paraId="24958838" w14:textId="77777777" w:rsidR="00FE1748" w:rsidRPr="00434A22" w:rsidRDefault="00FE1748" w:rsidP="005E5873">
      <w:pPr>
        <w:rPr>
          <w:rFonts w:ascii="Times New Roman" w:hAnsi="Times New Roman" w:cs="Times New Roman"/>
        </w:rPr>
      </w:pPr>
    </w:p>
    <w:tbl>
      <w:tblPr>
        <w:tblStyle w:val="ListTable7Colorful-Accent1"/>
        <w:tblW w:w="0" w:type="auto"/>
        <w:jc w:val="center"/>
        <w:tblLook w:val="04A0" w:firstRow="1" w:lastRow="0" w:firstColumn="1" w:lastColumn="0" w:noHBand="0" w:noVBand="1"/>
      </w:tblPr>
      <w:tblGrid>
        <w:gridCol w:w="4311"/>
        <w:gridCol w:w="2673"/>
      </w:tblGrid>
      <w:tr w:rsidR="00FE1748" w:rsidRPr="00434A22" w14:paraId="1E2D7623" w14:textId="77777777" w:rsidTr="005E587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hideMark/>
          </w:tcPr>
          <w:p w14:paraId="1797A284"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Household Type</w:t>
            </w:r>
          </w:p>
        </w:tc>
        <w:tc>
          <w:tcPr>
            <w:tcW w:w="0" w:type="auto"/>
            <w:hideMark/>
          </w:tcPr>
          <w:p w14:paraId="2F425116"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Approximate Income Limit</w:t>
            </w:r>
          </w:p>
        </w:tc>
      </w:tr>
      <w:tr w:rsidR="00FE1748" w:rsidRPr="00434A22" w14:paraId="1A2A841A" w14:textId="77777777" w:rsidTr="005E58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119D895" w14:textId="77777777" w:rsidR="00FE1748" w:rsidRPr="006F5B4A" w:rsidRDefault="00FE1748" w:rsidP="005E5873">
            <w:pPr>
              <w:rPr>
                <w:rFonts w:ascii="Times New Roman" w:hAnsi="Times New Roman" w:cs="Times New Roman"/>
                <w:szCs w:val="26"/>
              </w:rPr>
            </w:pPr>
            <w:r w:rsidRPr="006F5B4A">
              <w:rPr>
                <w:rFonts w:ascii="Times New Roman" w:hAnsi="Times New Roman" w:cs="Times New Roman"/>
                <w:szCs w:val="26"/>
              </w:rPr>
              <w:t>1–2 person households in many counties</w:t>
            </w:r>
          </w:p>
        </w:tc>
        <w:tc>
          <w:tcPr>
            <w:tcW w:w="0" w:type="auto"/>
            <w:hideMark/>
          </w:tcPr>
          <w:p w14:paraId="6796AAFC" w14:textId="77777777" w:rsidR="00FE1748" w:rsidRPr="00347F8B"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347F8B">
              <w:rPr>
                <w:rFonts w:ascii="Times New Roman" w:hAnsi="Times New Roman" w:cs="Times New Roman"/>
                <w:szCs w:val="22"/>
              </w:rPr>
              <w:t>$1</w:t>
            </w:r>
            <w:r>
              <w:rPr>
                <w:rFonts w:ascii="Times New Roman" w:hAnsi="Times New Roman" w:cs="Times New Roman"/>
                <w:szCs w:val="22"/>
              </w:rPr>
              <w:t>34,600</w:t>
            </w:r>
            <w:r w:rsidRPr="00347F8B">
              <w:rPr>
                <w:rFonts w:ascii="Times New Roman" w:hAnsi="Times New Roman" w:cs="Times New Roman"/>
                <w:szCs w:val="22"/>
              </w:rPr>
              <w:t xml:space="preserve"> to $1</w:t>
            </w:r>
            <w:r>
              <w:rPr>
                <w:rFonts w:ascii="Times New Roman" w:hAnsi="Times New Roman" w:cs="Times New Roman"/>
                <w:szCs w:val="22"/>
              </w:rPr>
              <w:t>54,800</w:t>
            </w:r>
          </w:p>
        </w:tc>
      </w:tr>
      <w:tr w:rsidR="00FE1748" w:rsidRPr="00434A22" w14:paraId="0630F3F8" w14:textId="77777777" w:rsidTr="005E58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C1AAB44" w14:textId="77777777" w:rsidR="00FE1748" w:rsidRPr="006F5B4A" w:rsidRDefault="00FE1748" w:rsidP="005E5873">
            <w:pPr>
              <w:rPr>
                <w:rFonts w:ascii="Times New Roman" w:hAnsi="Times New Roman" w:cs="Times New Roman"/>
                <w:szCs w:val="26"/>
              </w:rPr>
            </w:pPr>
            <w:r w:rsidRPr="006F5B4A">
              <w:rPr>
                <w:rFonts w:ascii="Times New Roman" w:hAnsi="Times New Roman" w:cs="Times New Roman"/>
                <w:szCs w:val="26"/>
              </w:rPr>
              <w:t>3+ person households in many counties</w:t>
            </w:r>
          </w:p>
        </w:tc>
        <w:tc>
          <w:tcPr>
            <w:tcW w:w="0" w:type="auto"/>
            <w:hideMark/>
          </w:tcPr>
          <w:p w14:paraId="56293707" w14:textId="77777777" w:rsidR="00FE1748" w:rsidRPr="00347F8B"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347F8B">
              <w:rPr>
                <w:rFonts w:ascii="Times New Roman" w:hAnsi="Times New Roman" w:cs="Times New Roman"/>
                <w:szCs w:val="22"/>
              </w:rPr>
              <w:t>$1</w:t>
            </w:r>
            <w:r>
              <w:rPr>
                <w:rFonts w:ascii="Times New Roman" w:hAnsi="Times New Roman" w:cs="Times New Roman"/>
                <w:szCs w:val="22"/>
              </w:rPr>
              <w:t>54,790</w:t>
            </w:r>
            <w:r w:rsidRPr="00347F8B">
              <w:rPr>
                <w:rFonts w:ascii="Times New Roman" w:hAnsi="Times New Roman" w:cs="Times New Roman"/>
                <w:szCs w:val="22"/>
              </w:rPr>
              <w:t xml:space="preserve"> to $1</w:t>
            </w:r>
            <w:r>
              <w:rPr>
                <w:rFonts w:ascii="Times New Roman" w:hAnsi="Times New Roman" w:cs="Times New Roman"/>
                <w:szCs w:val="22"/>
              </w:rPr>
              <w:t>78,020</w:t>
            </w:r>
          </w:p>
        </w:tc>
      </w:tr>
      <w:tr w:rsidR="00FE1748" w:rsidRPr="00434A22" w14:paraId="32E9E4CD" w14:textId="77777777" w:rsidTr="005E58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0C1E34" w14:textId="77777777" w:rsidR="00FE1748" w:rsidRPr="006F5B4A" w:rsidRDefault="00FE1748" w:rsidP="005E5873">
            <w:pPr>
              <w:rPr>
                <w:rFonts w:ascii="Times New Roman" w:hAnsi="Times New Roman" w:cs="Times New Roman"/>
                <w:szCs w:val="26"/>
              </w:rPr>
            </w:pPr>
            <w:r w:rsidRPr="006F5B4A">
              <w:rPr>
                <w:rFonts w:ascii="Times New Roman" w:hAnsi="Times New Roman" w:cs="Times New Roman"/>
                <w:szCs w:val="26"/>
              </w:rPr>
              <w:t>1–2 person households in Urban Target Areas</w:t>
            </w:r>
          </w:p>
        </w:tc>
        <w:tc>
          <w:tcPr>
            <w:tcW w:w="0" w:type="auto"/>
            <w:hideMark/>
          </w:tcPr>
          <w:p w14:paraId="2EEF71B4" w14:textId="77777777" w:rsidR="00FE1748" w:rsidRPr="00347F8B"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347F8B">
              <w:rPr>
                <w:rFonts w:ascii="Times New Roman" w:hAnsi="Times New Roman" w:cs="Times New Roman"/>
                <w:szCs w:val="22"/>
              </w:rPr>
              <w:t>More than $160,000</w:t>
            </w:r>
          </w:p>
        </w:tc>
      </w:tr>
      <w:tr w:rsidR="00FE1748" w:rsidRPr="00434A22" w14:paraId="69BCD11E" w14:textId="77777777" w:rsidTr="005E58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1FB6137" w14:textId="77777777" w:rsidR="00FE1748" w:rsidRPr="006F5B4A" w:rsidRDefault="00FE1748" w:rsidP="005E5873">
            <w:pPr>
              <w:rPr>
                <w:rFonts w:ascii="Times New Roman" w:hAnsi="Times New Roman" w:cs="Times New Roman"/>
                <w:szCs w:val="26"/>
              </w:rPr>
            </w:pPr>
            <w:r w:rsidRPr="006F5B4A">
              <w:rPr>
                <w:rFonts w:ascii="Times New Roman" w:hAnsi="Times New Roman" w:cs="Times New Roman"/>
                <w:szCs w:val="26"/>
              </w:rPr>
              <w:t>Larger households in Urban Target Areas</w:t>
            </w:r>
          </w:p>
        </w:tc>
        <w:tc>
          <w:tcPr>
            <w:tcW w:w="0" w:type="auto"/>
            <w:hideMark/>
          </w:tcPr>
          <w:p w14:paraId="33CD6588" w14:textId="77777777" w:rsidR="00FE1748" w:rsidRPr="00347F8B"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347F8B">
              <w:rPr>
                <w:rFonts w:ascii="Times New Roman" w:hAnsi="Times New Roman" w:cs="Times New Roman"/>
                <w:szCs w:val="22"/>
              </w:rPr>
              <w:t>More than $195,000</w:t>
            </w:r>
          </w:p>
        </w:tc>
      </w:tr>
    </w:tbl>
    <w:p w14:paraId="0BAF6D61" w14:textId="77777777" w:rsidR="00FE1748" w:rsidRPr="00434A22" w:rsidRDefault="00FE1748" w:rsidP="005E5873">
      <w:pPr>
        <w:rPr>
          <w:rFonts w:ascii="Times New Roman" w:hAnsi="Times New Roman" w:cs="Times New Roman"/>
        </w:rPr>
      </w:pPr>
    </w:p>
    <w:p w14:paraId="6403D0EB" w14:textId="77777777" w:rsidR="00FE1748" w:rsidRPr="00434A22" w:rsidRDefault="00FE1748" w:rsidP="005E5873">
      <w:pPr>
        <w:pStyle w:val="Heading3"/>
        <w:rPr>
          <w:rFonts w:ascii="Times New Roman" w:hAnsi="Times New Roman" w:cs="Times New Roman"/>
          <w:b/>
          <w:bCs/>
        </w:rPr>
      </w:pPr>
      <w:r w:rsidRPr="00434A22">
        <w:rPr>
          <w:rFonts w:ascii="Times New Roman" w:hAnsi="Times New Roman" w:cs="Times New Roman"/>
          <w:b/>
          <w:bCs/>
        </w:rPr>
        <w:t>Why This Matters</w:t>
      </w:r>
    </w:p>
    <w:p w14:paraId="0172A76F" w14:textId="77777777" w:rsidR="00FE1748" w:rsidRPr="00434A22" w:rsidRDefault="00FE1748" w:rsidP="005E5873">
      <w:pPr>
        <w:pStyle w:val="origin-typography"/>
      </w:pPr>
      <w:r w:rsidRPr="00434A22">
        <w:t>These income limits suggest that the program is better described as a middle- and upper-</w:t>
      </w:r>
      <w:r>
        <w:t xml:space="preserve"> </w:t>
      </w:r>
      <w:r w:rsidRPr="00434A22">
        <w:t>middle</w:t>
      </w:r>
      <w:r>
        <w:t xml:space="preserve"> </w:t>
      </w:r>
      <w:r w:rsidRPr="00434A22">
        <w:t xml:space="preserve">income assistance tool </w:t>
      </w:r>
      <w:r>
        <w:t xml:space="preserve">rather </w:t>
      </w:r>
      <w:r w:rsidRPr="00434A22">
        <w:t>than a true affordability strategy for lower-income households. It is not centered on residents below 80% of area median income, even though those households face the greatest barriers to ownership.</w:t>
      </w:r>
    </w:p>
    <w:p w14:paraId="268DFB8F" w14:textId="77777777" w:rsidR="00FE1748" w:rsidRPr="00434A22" w:rsidRDefault="00FE1748" w:rsidP="005E5873">
      <w:pPr>
        <w:rPr>
          <w:rFonts w:ascii="Times New Roman" w:hAnsi="Times New Roman" w:cs="Times New Roman"/>
        </w:rPr>
      </w:pPr>
      <w:r>
        <w:rPr>
          <w:rFonts w:ascii="Times New Roman" w:hAnsi="Times New Roman" w:cs="Times New Roman"/>
        </w:rPr>
        <w:pict w14:anchorId="0A8847B4">
          <v:rect id="_x0000_i1069" style="width:0;height:1.5pt" o:hralign="center" o:hrstd="t" o:hr="t" fillcolor="#a0a0a0" stroked="f"/>
        </w:pict>
      </w:r>
    </w:p>
    <w:p w14:paraId="2FF85333" w14:textId="77777777" w:rsidR="00FE1748" w:rsidRPr="00434A22" w:rsidRDefault="00FE1748" w:rsidP="005E5873">
      <w:pPr>
        <w:rPr>
          <w:rFonts w:ascii="Times New Roman" w:eastAsiaTheme="majorEastAsia" w:hAnsi="Times New Roman" w:cs="Times New Roman"/>
          <w:color w:val="B76E0B" w:themeColor="accent1" w:themeShade="BF"/>
          <w:sz w:val="28"/>
          <w:szCs w:val="28"/>
        </w:rPr>
      </w:pPr>
      <w:r w:rsidRPr="00434A22">
        <w:rPr>
          <w:rFonts w:ascii="Times New Roman" w:hAnsi="Times New Roman" w:cs="Times New Roman"/>
        </w:rPr>
        <w:br w:type="page"/>
      </w:r>
    </w:p>
    <w:p w14:paraId="649C9DFC" w14:textId="77777777" w:rsidR="00FE1748" w:rsidRPr="00E354AD" w:rsidRDefault="00FE1748" w:rsidP="005E5873">
      <w:pPr>
        <w:pStyle w:val="Heading2"/>
        <w:rPr>
          <w:rFonts w:ascii="Times New Roman" w:hAnsi="Times New Roman" w:cs="Times New Roman"/>
          <w:b w:val="0"/>
          <w:bCs/>
          <w:color w:val="auto"/>
        </w:rPr>
      </w:pPr>
      <w:r w:rsidRPr="00E354AD">
        <w:rPr>
          <w:rFonts w:ascii="Segoe UI Emoji" w:hAnsi="Segoe UI Emoji" w:cs="Segoe UI Emoji"/>
          <w:bCs/>
          <w:color w:val="auto"/>
        </w:rPr>
        <w:lastRenderedPageBreak/>
        <w:t>🟧</w:t>
      </w:r>
      <w:r w:rsidRPr="00E354AD">
        <w:rPr>
          <w:rFonts w:ascii="Times New Roman" w:hAnsi="Times New Roman" w:cs="Times New Roman"/>
          <w:bCs/>
          <w:color w:val="auto"/>
        </w:rPr>
        <w:t xml:space="preserve"> Finding 6: Down Payment Assistance Does Not Create New Housing Supply</w:t>
      </w:r>
    </w:p>
    <w:p w14:paraId="6765B58F" w14:textId="77777777" w:rsidR="00FE1748" w:rsidRPr="00434A22" w:rsidRDefault="00FE1748" w:rsidP="005E5873">
      <w:pPr>
        <w:pStyle w:val="origin-typography"/>
      </w:pPr>
      <w:r w:rsidRPr="00434A22">
        <w:t>The most important limitation is structural: down payment assistance does not build homes.</w:t>
      </w:r>
    </w:p>
    <w:p w14:paraId="43F30B69" w14:textId="77777777" w:rsidR="00FE1748" w:rsidRPr="00434A22" w:rsidRDefault="00FE1748" w:rsidP="005E5873">
      <w:pPr>
        <w:pStyle w:val="Heading3"/>
        <w:rPr>
          <w:rFonts w:ascii="Times New Roman" w:hAnsi="Times New Roman" w:cs="Times New Roman"/>
          <w:b/>
          <w:bCs/>
        </w:rPr>
      </w:pPr>
      <w:r w:rsidRPr="00434A22">
        <w:rPr>
          <w:rFonts w:ascii="Segoe UI Emoji" w:hAnsi="Segoe UI Emoji" w:cs="Segoe UI Emoji"/>
        </w:rPr>
        <w:t>🟧</w:t>
      </w:r>
      <w:r w:rsidRPr="00434A22">
        <w:rPr>
          <w:rFonts w:ascii="Times New Roman" w:hAnsi="Times New Roman" w:cs="Times New Roman"/>
        </w:rPr>
        <w:t xml:space="preserve"> </w:t>
      </w:r>
      <w:r w:rsidRPr="00504A16">
        <w:rPr>
          <w:rFonts w:ascii="Times New Roman" w:hAnsi="Times New Roman" w:cs="Times New Roman"/>
        </w:rPr>
        <w:t>Exhibit 6. What Down Payment Assistance Does and Does Not Do</w:t>
      </w:r>
    </w:p>
    <w:p w14:paraId="5E099A87" w14:textId="77777777" w:rsidR="00FE1748" w:rsidRPr="00434A22" w:rsidRDefault="00FE1748" w:rsidP="005E5873">
      <w:pPr>
        <w:rPr>
          <w:rFonts w:ascii="Times New Roman" w:hAnsi="Times New Roman" w:cs="Times New Roman"/>
        </w:rPr>
      </w:pPr>
    </w:p>
    <w:tbl>
      <w:tblPr>
        <w:tblStyle w:val="ListTable7Colorful-Accent1"/>
        <w:tblW w:w="9293" w:type="dxa"/>
        <w:tblLook w:val="0420" w:firstRow="1" w:lastRow="0" w:firstColumn="0" w:lastColumn="0" w:noHBand="0" w:noVBand="1"/>
      </w:tblPr>
      <w:tblGrid>
        <w:gridCol w:w="4794"/>
        <w:gridCol w:w="4499"/>
      </w:tblGrid>
      <w:tr w:rsidR="00FE1748" w:rsidRPr="00434A22" w14:paraId="38853387" w14:textId="77777777" w:rsidTr="005E5873">
        <w:trPr>
          <w:cnfStyle w:val="100000000000" w:firstRow="1" w:lastRow="0" w:firstColumn="0" w:lastColumn="0" w:oddVBand="0" w:evenVBand="0" w:oddHBand="0" w:evenHBand="0" w:firstRowFirstColumn="0" w:firstRowLastColumn="0" w:lastRowFirstColumn="0" w:lastRowLastColumn="0"/>
          <w:trHeight w:val="589"/>
        </w:trPr>
        <w:tc>
          <w:tcPr>
            <w:tcW w:w="0" w:type="auto"/>
            <w:hideMark/>
          </w:tcPr>
          <w:p w14:paraId="317A0FA6"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Down Payment Assistance Can Help With</w:t>
            </w:r>
          </w:p>
        </w:tc>
        <w:tc>
          <w:tcPr>
            <w:tcW w:w="0" w:type="auto"/>
            <w:hideMark/>
          </w:tcPr>
          <w:p w14:paraId="32B72EA5"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Down Payment Assistance Cannot Solve</w:t>
            </w:r>
          </w:p>
        </w:tc>
      </w:tr>
      <w:tr w:rsidR="00FE1748" w:rsidRPr="00434A22" w14:paraId="6EBAE048" w14:textId="77777777" w:rsidTr="005E5873">
        <w:trPr>
          <w:cnfStyle w:val="000000100000" w:firstRow="0" w:lastRow="0" w:firstColumn="0" w:lastColumn="0" w:oddVBand="0" w:evenVBand="0" w:oddHBand="1" w:evenHBand="0" w:firstRowFirstColumn="0" w:firstRowLastColumn="0" w:lastRowFirstColumn="0" w:lastRowLastColumn="0"/>
          <w:trHeight w:val="507"/>
        </w:trPr>
        <w:tc>
          <w:tcPr>
            <w:tcW w:w="0" w:type="auto"/>
            <w:hideMark/>
          </w:tcPr>
          <w:p w14:paraId="691695BC"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Helping some buyers reach closing</w:t>
            </w:r>
          </w:p>
        </w:tc>
        <w:tc>
          <w:tcPr>
            <w:tcW w:w="0" w:type="auto"/>
            <w:hideMark/>
          </w:tcPr>
          <w:p w14:paraId="227B4961"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Creating new housing units</w:t>
            </w:r>
          </w:p>
        </w:tc>
      </w:tr>
      <w:tr w:rsidR="00FE1748" w:rsidRPr="00434A22" w14:paraId="66A48EA4" w14:textId="77777777" w:rsidTr="005E5873">
        <w:trPr>
          <w:trHeight w:val="507"/>
        </w:trPr>
        <w:tc>
          <w:tcPr>
            <w:tcW w:w="0" w:type="auto"/>
            <w:hideMark/>
          </w:tcPr>
          <w:p w14:paraId="123B2664"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Reducing upfront cash needs</w:t>
            </w:r>
          </w:p>
        </w:tc>
        <w:tc>
          <w:tcPr>
            <w:tcW w:w="0" w:type="auto"/>
            <w:hideMark/>
          </w:tcPr>
          <w:p w14:paraId="023C841A"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Expanding the housing supply</w:t>
            </w:r>
          </w:p>
        </w:tc>
      </w:tr>
      <w:tr w:rsidR="00FE1748" w:rsidRPr="00434A22" w14:paraId="6B4E092B" w14:textId="77777777" w:rsidTr="005E5873">
        <w:trPr>
          <w:cnfStyle w:val="000000100000" w:firstRow="0" w:lastRow="0" w:firstColumn="0" w:lastColumn="0" w:oddVBand="0" w:evenVBand="0" w:oddHBand="1" w:evenHBand="0" w:firstRowFirstColumn="0" w:firstRowLastColumn="0" w:lastRowFirstColumn="0" w:lastRowLastColumn="0"/>
          <w:trHeight w:val="507"/>
        </w:trPr>
        <w:tc>
          <w:tcPr>
            <w:tcW w:w="0" w:type="auto"/>
            <w:hideMark/>
          </w:tcPr>
          <w:p w14:paraId="5201286F"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Supporting buyers already near qualification</w:t>
            </w:r>
          </w:p>
        </w:tc>
        <w:tc>
          <w:tcPr>
            <w:tcW w:w="0" w:type="auto"/>
            <w:hideMark/>
          </w:tcPr>
          <w:p w14:paraId="117908A9"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Lowering market prices</w:t>
            </w:r>
          </w:p>
        </w:tc>
      </w:tr>
      <w:tr w:rsidR="00FE1748" w:rsidRPr="00434A22" w14:paraId="2CC2F500" w14:textId="77777777" w:rsidTr="005E5873">
        <w:trPr>
          <w:trHeight w:val="507"/>
        </w:trPr>
        <w:tc>
          <w:tcPr>
            <w:tcW w:w="0" w:type="auto"/>
            <w:hideMark/>
          </w:tcPr>
          <w:p w14:paraId="2BC2A54B"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Improving individual transactions</w:t>
            </w:r>
          </w:p>
        </w:tc>
        <w:tc>
          <w:tcPr>
            <w:tcW w:w="0" w:type="auto"/>
            <w:hideMark/>
          </w:tcPr>
          <w:p w14:paraId="654BECA9"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Creating affordability at scale</w:t>
            </w:r>
          </w:p>
        </w:tc>
      </w:tr>
    </w:tbl>
    <w:p w14:paraId="4E3DC02A" w14:textId="77777777" w:rsidR="00FE1748" w:rsidRPr="00434A22" w:rsidRDefault="00FE1748" w:rsidP="005E5873">
      <w:pPr>
        <w:rPr>
          <w:rFonts w:ascii="Times New Roman" w:hAnsi="Times New Roman" w:cs="Times New Roman"/>
        </w:rPr>
      </w:pPr>
    </w:p>
    <w:p w14:paraId="3201E9D2" w14:textId="77777777" w:rsidR="00FE1748" w:rsidRPr="00434A22" w:rsidRDefault="00FE1748" w:rsidP="005E5873">
      <w:pPr>
        <w:pStyle w:val="Heading3"/>
        <w:rPr>
          <w:rFonts w:ascii="Times New Roman" w:hAnsi="Times New Roman" w:cs="Times New Roman"/>
          <w:b/>
          <w:bCs/>
        </w:rPr>
      </w:pPr>
      <w:r w:rsidRPr="00434A22">
        <w:rPr>
          <w:rFonts w:ascii="Times New Roman" w:hAnsi="Times New Roman" w:cs="Times New Roman"/>
          <w:b/>
          <w:bCs/>
        </w:rPr>
        <w:t>Why This Matters</w:t>
      </w:r>
    </w:p>
    <w:p w14:paraId="0E73D99C" w14:textId="77777777" w:rsidR="00FE1748" w:rsidRPr="00434A22" w:rsidRDefault="00FE1748" w:rsidP="005E5873">
      <w:pPr>
        <w:pStyle w:val="origin-typography"/>
      </w:pPr>
      <w:r w:rsidRPr="00434A22">
        <w:t xml:space="preserve">In a supply-constrained market, helping buyers compete for existing homes does not solve the shortage. </w:t>
      </w:r>
      <w:r>
        <w:t>In fact, i</w:t>
      </w:r>
      <w:r w:rsidRPr="00434A22">
        <w:t xml:space="preserve">t may </w:t>
      </w:r>
      <w:r>
        <w:t xml:space="preserve">even </w:t>
      </w:r>
      <w:r w:rsidRPr="00434A22">
        <w:t xml:space="preserve">increase demand without increasing supply. If New Jersey wants lasting affordability, it must produce more homes that households can </w:t>
      </w:r>
      <w:r>
        <w:t xml:space="preserve">realistically </w:t>
      </w:r>
      <w:r w:rsidRPr="00434A22">
        <w:t>buy.</w:t>
      </w:r>
    </w:p>
    <w:p w14:paraId="0D6FF19E" w14:textId="77777777" w:rsidR="00FE1748" w:rsidRPr="00434A22" w:rsidRDefault="00FE1748" w:rsidP="005E5873">
      <w:pPr>
        <w:rPr>
          <w:rFonts w:ascii="Times New Roman" w:hAnsi="Times New Roman" w:cs="Times New Roman"/>
        </w:rPr>
      </w:pPr>
      <w:r>
        <w:rPr>
          <w:rFonts w:ascii="Times New Roman" w:hAnsi="Times New Roman" w:cs="Times New Roman"/>
        </w:rPr>
        <w:pict w14:anchorId="293375F5">
          <v:rect id="_x0000_i1070" style="width:0;height:1.5pt" o:hralign="center" o:hrstd="t" o:hr="t" fillcolor="#a0a0a0" stroked="f"/>
        </w:pict>
      </w:r>
    </w:p>
    <w:p w14:paraId="1A94F9DE" w14:textId="77777777" w:rsidR="00FE1748" w:rsidRPr="00434A22" w:rsidRDefault="00FE1748" w:rsidP="005E5873">
      <w:pPr>
        <w:rPr>
          <w:rFonts w:ascii="Times New Roman" w:eastAsiaTheme="majorEastAsia" w:hAnsi="Times New Roman" w:cs="Times New Roman"/>
          <w:color w:val="B76E0B" w:themeColor="accent1" w:themeShade="BF"/>
          <w:sz w:val="28"/>
          <w:szCs w:val="28"/>
        </w:rPr>
      </w:pPr>
      <w:r w:rsidRPr="00434A22">
        <w:rPr>
          <w:rFonts w:ascii="Times New Roman" w:hAnsi="Times New Roman" w:cs="Times New Roman"/>
        </w:rPr>
        <w:br w:type="page"/>
      </w:r>
    </w:p>
    <w:p w14:paraId="6042675A" w14:textId="77777777" w:rsidR="00FE1748" w:rsidRPr="00E354AD" w:rsidRDefault="00FE1748" w:rsidP="005E5873">
      <w:pPr>
        <w:pStyle w:val="Heading2"/>
        <w:rPr>
          <w:rFonts w:ascii="Times New Roman" w:hAnsi="Times New Roman" w:cs="Times New Roman"/>
          <w:b w:val="0"/>
          <w:bCs/>
          <w:color w:val="auto"/>
        </w:rPr>
      </w:pPr>
      <w:r w:rsidRPr="00E354AD">
        <w:rPr>
          <w:rFonts w:ascii="Segoe UI Emoji" w:hAnsi="Segoe UI Emoji" w:cs="Segoe UI Emoji"/>
          <w:bCs/>
          <w:color w:val="auto"/>
        </w:rPr>
        <w:lastRenderedPageBreak/>
        <w:t>🟧</w:t>
      </w:r>
      <w:r w:rsidRPr="00E354AD">
        <w:rPr>
          <w:rFonts w:ascii="Times New Roman" w:hAnsi="Times New Roman" w:cs="Times New Roman"/>
          <w:bCs/>
          <w:color w:val="auto"/>
        </w:rPr>
        <w:t xml:space="preserve"> Finding 7: Homeownership Production Supports Wealth Creation</w:t>
      </w:r>
    </w:p>
    <w:p w14:paraId="6E83E041" w14:textId="77777777" w:rsidR="00FE1748" w:rsidRPr="00434A22" w:rsidRDefault="00FE1748" w:rsidP="005E5873">
      <w:pPr>
        <w:pStyle w:val="origin-typography"/>
      </w:pPr>
      <w:r w:rsidRPr="00434A22">
        <w:t>Homeownership is one of the primary ways families build long-term wealth. When home prices rise, existing homeowners gain equity, while renters fall further behind.</w:t>
      </w:r>
    </w:p>
    <w:p w14:paraId="543F016B" w14:textId="77777777" w:rsidR="00FE1748" w:rsidRPr="00434A22" w:rsidRDefault="00FE1748" w:rsidP="005E5873">
      <w:pPr>
        <w:pStyle w:val="Heading3"/>
        <w:rPr>
          <w:rFonts w:ascii="Times New Roman" w:hAnsi="Times New Roman" w:cs="Times New Roman"/>
          <w:b/>
          <w:bCs/>
        </w:rPr>
      </w:pPr>
      <w:r w:rsidRPr="00434A22">
        <w:rPr>
          <w:rFonts w:ascii="Segoe UI Emoji" w:hAnsi="Segoe UI Emoji" w:cs="Segoe UI Emoji"/>
        </w:rPr>
        <w:t>🟧</w:t>
      </w:r>
      <w:r w:rsidRPr="00434A22">
        <w:rPr>
          <w:rFonts w:ascii="Times New Roman" w:hAnsi="Times New Roman" w:cs="Times New Roman"/>
        </w:rPr>
        <w:t xml:space="preserve"> </w:t>
      </w:r>
      <w:r w:rsidRPr="00236D61">
        <w:rPr>
          <w:rFonts w:ascii="Times New Roman" w:hAnsi="Times New Roman" w:cs="Times New Roman"/>
        </w:rPr>
        <w:t>Exhibit 7. Wealth Gap Context</w:t>
      </w:r>
      <w:r>
        <w:rPr>
          <w:rStyle w:val="FootnoteReference"/>
          <w:rFonts w:ascii="Times New Roman" w:hAnsi="Times New Roman" w:cs="Times New Roman"/>
        </w:rPr>
        <w:footnoteReference w:id="8"/>
      </w:r>
    </w:p>
    <w:p w14:paraId="10263D9E" w14:textId="77777777" w:rsidR="00FE1748" w:rsidRPr="00434A22" w:rsidRDefault="00FE1748" w:rsidP="005E5873">
      <w:pPr>
        <w:rPr>
          <w:rFonts w:ascii="Times New Roman" w:hAnsi="Times New Roman" w:cs="Times New Roman"/>
        </w:rPr>
      </w:pPr>
    </w:p>
    <w:tbl>
      <w:tblPr>
        <w:tblStyle w:val="ListTable7Colorful-Accent1"/>
        <w:tblW w:w="7472" w:type="dxa"/>
        <w:jc w:val="center"/>
        <w:tblLook w:val="04A0" w:firstRow="1" w:lastRow="0" w:firstColumn="1" w:lastColumn="0" w:noHBand="0" w:noVBand="1"/>
      </w:tblPr>
      <w:tblGrid>
        <w:gridCol w:w="3508"/>
        <w:gridCol w:w="3964"/>
      </w:tblGrid>
      <w:tr w:rsidR="00FE1748" w:rsidRPr="00434A22" w14:paraId="375BE47A" w14:textId="77777777" w:rsidTr="005E5873">
        <w:trPr>
          <w:cnfStyle w:val="100000000000" w:firstRow="1" w:lastRow="0" w:firstColumn="0" w:lastColumn="0" w:oddVBand="0" w:evenVBand="0" w:oddHBand="0" w:evenHBand="0" w:firstRowFirstColumn="0" w:firstRowLastColumn="0" w:lastRowFirstColumn="0" w:lastRowLastColumn="0"/>
          <w:trHeight w:val="551"/>
          <w:jc w:val="center"/>
        </w:trPr>
        <w:tc>
          <w:tcPr>
            <w:cnfStyle w:val="001000000100" w:firstRow="0" w:lastRow="0" w:firstColumn="1" w:lastColumn="0" w:oddVBand="0" w:evenVBand="0" w:oddHBand="0" w:evenHBand="0" w:firstRowFirstColumn="1" w:firstRowLastColumn="0" w:lastRowFirstColumn="0" w:lastRowLastColumn="0"/>
            <w:tcW w:w="0" w:type="auto"/>
            <w:hideMark/>
          </w:tcPr>
          <w:p w14:paraId="26167E69"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Household Group</w:t>
            </w:r>
          </w:p>
        </w:tc>
        <w:tc>
          <w:tcPr>
            <w:tcW w:w="0" w:type="auto"/>
            <w:hideMark/>
          </w:tcPr>
          <w:p w14:paraId="47FC5BD5"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Approximate Household Wealth</w:t>
            </w:r>
          </w:p>
        </w:tc>
      </w:tr>
      <w:tr w:rsidR="00FE1748" w:rsidRPr="00434A22" w14:paraId="7E9C1CB1" w14:textId="77777777" w:rsidTr="005E5873">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58FDF3" w14:textId="77777777" w:rsidR="00FE1748" w:rsidRPr="00B104AC" w:rsidRDefault="00FE1748" w:rsidP="005E5873">
            <w:pPr>
              <w:rPr>
                <w:rFonts w:ascii="Times New Roman" w:hAnsi="Times New Roman" w:cs="Times New Roman"/>
                <w:szCs w:val="26"/>
              </w:rPr>
            </w:pPr>
            <w:r w:rsidRPr="00B104AC">
              <w:rPr>
                <w:rFonts w:ascii="Times New Roman" w:hAnsi="Times New Roman" w:cs="Times New Roman"/>
                <w:szCs w:val="26"/>
              </w:rPr>
              <w:t>Latino and Black households</w:t>
            </w:r>
          </w:p>
        </w:tc>
        <w:tc>
          <w:tcPr>
            <w:tcW w:w="0" w:type="auto"/>
            <w:hideMark/>
          </w:tcPr>
          <w:p w14:paraId="0013471F" w14:textId="77777777" w:rsidR="00FE1748" w:rsidRPr="00B3317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About $20,000</w:t>
            </w:r>
          </w:p>
        </w:tc>
      </w:tr>
      <w:tr w:rsidR="00FE1748" w:rsidRPr="00434A22" w14:paraId="67F80B6F" w14:textId="77777777" w:rsidTr="005E5873">
        <w:trPr>
          <w:trHeight w:val="4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605A77D" w14:textId="77777777" w:rsidR="00FE1748" w:rsidRPr="00B104AC" w:rsidRDefault="00FE1748" w:rsidP="005E5873">
            <w:pPr>
              <w:rPr>
                <w:rFonts w:ascii="Times New Roman" w:hAnsi="Times New Roman" w:cs="Times New Roman"/>
                <w:szCs w:val="26"/>
              </w:rPr>
            </w:pPr>
            <w:r w:rsidRPr="00B104AC">
              <w:rPr>
                <w:rFonts w:ascii="Times New Roman" w:hAnsi="Times New Roman" w:cs="Times New Roman"/>
                <w:szCs w:val="26"/>
              </w:rPr>
              <w:t>White households</w:t>
            </w:r>
          </w:p>
        </w:tc>
        <w:tc>
          <w:tcPr>
            <w:tcW w:w="0" w:type="auto"/>
            <w:hideMark/>
          </w:tcPr>
          <w:p w14:paraId="61F75155" w14:textId="77777777" w:rsidR="00FE1748" w:rsidRPr="00B3317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More than $650,000</w:t>
            </w:r>
          </w:p>
        </w:tc>
      </w:tr>
    </w:tbl>
    <w:p w14:paraId="31DB8E32" w14:textId="77777777" w:rsidR="00FE1748" w:rsidRPr="00434A22" w:rsidRDefault="00FE1748" w:rsidP="005E5873">
      <w:pPr>
        <w:rPr>
          <w:rFonts w:ascii="Times New Roman" w:hAnsi="Times New Roman" w:cs="Times New Roman"/>
        </w:rPr>
      </w:pPr>
    </w:p>
    <w:p w14:paraId="4EEAEB15" w14:textId="77777777" w:rsidR="00FE1748" w:rsidRPr="00434A22" w:rsidRDefault="00FE1748" w:rsidP="005E5873">
      <w:pPr>
        <w:pStyle w:val="Heading3"/>
        <w:rPr>
          <w:rFonts w:ascii="Times New Roman" w:hAnsi="Times New Roman" w:cs="Times New Roman"/>
          <w:b/>
          <w:bCs/>
        </w:rPr>
      </w:pPr>
      <w:r w:rsidRPr="00434A22">
        <w:rPr>
          <w:rFonts w:ascii="Times New Roman" w:hAnsi="Times New Roman" w:cs="Times New Roman"/>
          <w:b/>
          <w:bCs/>
        </w:rPr>
        <w:t>Why This Matters</w:t>
      </w:r>
    </w:p>
    <w:p w14:paraId="25495315" w14:textId="77777777" w:rsidR="00FE1748" w:rsidRPr="00434A22" w:rsidRDefault="00FE1748" w:rsidP="005E5873">
      <w:pPr>
        <w:pStyle w:val="origin-typography"/>
      </w:pPr>
      <w:r w:rsidRPr="00434A22">
        <w:t>If New Jersey focuses only on buyer assistance for already expensive homes, it does not close the wealth gap. It mainly helps households that already have stronger income and asset positions. Affordable homeownership production would create a more direct path for lower-wealth families to build equity, stability, and intergenerational wealth.</w:t>
      </w:r>
    </w:p>
    <w:p w14:paraId="090506ED" w14:textId="77777777" w:rsidR="00FE1748" w:rsidRPr="00434A22" w:rsidRDefault="00FE1748" w:rsidP="005E5873">
      <w:pPr>
        <w:rPr>
          <w:rFonts w:ascii="Times New Roman" w:hAnsi="Times New Roman" w:cs="Times New Roman"/>
        </w:rPr>
      </w:pPr>
      <w:r>
        <w:rPr>
          <w:rFonts w:ascii="Times New Roman" w:hAnsi="Times New Roman" w:cs="Times New Roman"/>
        </w:rPr>
        <w:pict w14:anchorId="3641049E">
          <v:rect id="_x0000_i1071" style="width:0;height:1.5pt" o:hralign="center" o:hrstd="t" o:hr="t" fillcolor="#a0a0a0" stroked="f"/>
        </w:pict>
      </w:r>
    </w:p>
    <w:p w14:paraId="20E771B7" w14:textId="77777777" w:rsidR="00FE1748" w:rsidRPr="00434A22" w:rsidRDefault="00FE1748" w:rsidP="005E5873">
      <w:pPr>
        <w:rPr>
          <w:rFonts w:ascii="Times New Roman" w:eastAsiaTheme="majorEastAsia" w:hAnsi="Times New Roman" w:cs="Times New Roman"/>
          <w:color w:val="B76E0B" w:themeColor="accent1" w:themeShade="BF"/>
          <w:sz w:val="28"/>
          <w:szCs w:val="28"/>
        </w:rPr>
      </w:pPr>
      <w:r w:rsidRPr="00434A22">
        <w:rPr>
          <w:rFonts w:ascii="Times New Roman" w:hAnsi="Times New Roman" w:cs="Times New Roman"/>
        </w:rPr>
        <w:br w:type="page"/>
      </w:r>
    </w:p>
    <w:p w14:paraId="6A02351F" w14:textId="77777777" w:rsidR="00FE1748" w:rsidRPr="00E354AD" w:rsidRDefault="00FE1748" w:rsidP="005E5873">
      <w:pPr>
        <w:pStyle w:val="Heading2"/>
        <w:rPr>
          <w:rFonts w:ascii="Times New Roman" w:hAnsi="Times New Roman" w:cs="Times New Roman"/>
          <w:b w:val="0"/>
          <w:bCs/>
          <w:color w:val="auto"/>
        </w:rPr>
      </w:pPr>
      <w:r w:rsidRPr="00E354AD">
        <w:rPr>
          <w:rFonts w:ascii="Segoe UI Emoji" w:hAnsi="Segoe UI Emoji" w:cs="Segoe UI Emoji"/>
          <w:bCs/>
          <w:color w:val="auto"/>
        </w:rPr>
        <w:lastRenderedPageBreak/>
        <w:t>🟧</w:t>
      </w:r>
      <w:r w:rsidRPr="00E354AD">
        <w:rPr>
          <w:rFonts w:ascii="Times New Roman" w:hAnsi="Times New Roman" w:cs="Times New Roman"/>
          <w:bCs/>
          <w:color w:val="auto"/>
        </w:rPr>
        <w:t xml:space="preserve"> Finding 8: State Housing Funding Priorities Are Misaligned</w:t>
      </w:r>
    </w:p>
    <w:p w14:paraId="71BCD694" w14:textId="77777777" w:rsidR="00FE1748" w:rsidRPr="00434A22" w:rsidRDefault="00FE1748" w:rsidP="005E5873">
      <w:pPr>
        <w:pStyle w:val="origin-typography"/>
      </w:pPr>
      <w:r w:rsidRPr="00434A22">
        <w:t xml:space="preserve">The funding data </w:t>
      </w:r>
      <w:proofErr w:type="gramStart"/>
      <w:r>
        <w:t>point</w:t>
      </w:r>
      <w:proofErr w:type="gramEnd"/>
      <w:r>
        <w:t xml:space="preserve"> to a major imbalance between housing revenue and investment in affordable homeownership</w:t>
      </w:r>
      <w:r w:rsidRPr="00434A22">
        <w:t>.</w:t>
      </w:r>
    </w:p>
    <w:p w14:paraId="7480D051" w14:textId="77777777" w:rsidR="00FE1748" w:rsidRPr="00434A22" w:rsidRDefault="00FE1748" w:rsidP="005E5873">
      <w:pPr>
        <w:pStyle w:val="Heading3"/>
        <w:rPr>
          <w:rFonts w:ascii="Times New Roman" w:hAnsi="Times New Roman" w:cs="Times New Roman"/>
        </w:rPr>
      </w:pPr>
      <w:r w:rsidRPr="00434A22">
        <w:rPr>
          <w:rFonts w:ascii="Segoe UI Emoji" w:hAnsi="Segoe UI Emoji" w:cs="Segoe UI Emoji"/>
        </w:rPr>
        <w:t>🟧</w:t>
      </w:r>
      <w:r w:rsidRPr="00434A22">
        <w:rPr>
          <w:rFonts w:ascii="Times New Roman" w:hAnsi="Times New Roman" w:cs="Times New Roman"/>
        </w:rPr>
        <w:t xml:space="preserve"> </w:t>
      </w:r>
      <w:r w:rsidRPr="00145655">
        <w:rPr>
          <w:rFonts w:ascii="Times New Roman" w:hAnsi="Times New Roman" w:cs="Times New Roman"/>
        </w:rPr>
        <w:t>Exhibit 8. Funding Imbalance</w:t>
      </w:r>
      <w:r>
        <w:rPr>
          <w:rStyle w:val="FootnoteReference"/>
          <w:rFonts w:ascii="Times New Roman" w:hAnsi="Times New Roman" w:cs="Times New Roman"/>
        </w:rPr>
        <w:footnoteReference w:id="9"/>
      </w:r>
    </w:p>
    <w:p w14:paraId="0CC4AAA4" w14:textId="77777777" w:rsidR="00FE1748" w:rsidRPr="00434A22" w:rsidRDefault="00FE1748" w:rsidP="005E5873">
      <w:pPr>
        <w:rPr>
          <w:rFonts w:ascii="Times New Roman" w:hAnsi="Times New Roman" w:cs="Times New Roman"/>
        </w:rPr>
      </w:pPr>
    </w:p>
    <w:tbl>
      <w:tblPr>
        <w:tblStyle w:val="ListTable7Colorful-Accent1"/>
        <w:tblW w:w="9330" w:type="dxa"/>
        <w:tblLook w:val="04A0" w:firstRow="1" w:lastRow="0" w:firstColumn="1" w:lastColumn="0" w:noHBand="0" w:noVBand="1"/>
      </w:tblPr>
      <w:tblGrid>
        <w:gridCol w:w="4279"/>
        <w:gridCol w:w="2387"/>
        <w:gridCol w:w="2664"/>
      </w:tblGrid>
      <w:tr w:rsidR="00FE1748" w:rsidRPr="00434A22" w14:paraId="75BDD7CD" w14:textId="77777777" w:rsidTr="005E5873">
        <w:trPr>
          <w:cnfStyle w:val="100000000000" w:firstRow="1" w:lastRow="0" w:firstColumn="0" w:lastColumn="0" w:oddVBand="0" w:evenVBand="0" w:oddHBand="0" w:evenHBand="0" w:firstRowFirstColumn="0" w:firstRowLastColumn="0" w:lastRowFirstColumn="0" w:lastRowLastColumn="0"/>
          <w:trHeight w:val="788"/>
        </w:trPr>
        <w:tc>
          <w:tcPr>
            <w:cnfStyle w:val="001000000100" w:firstRow="0" w:lastRow="0" w:firstColumn="1" w:lastColumn="0" w:oddVBand="0" w:evenVBand="0" w:oddHBand="0" w:evenHBand="0" w:firstRowFirstColumn="1" w:firstRowLastColumn="0" w:lastRowFirstColumn="0" w:lastRowLastColumn="0"/>
            <w:tcW w:w="0" w:type="auto"/>
            <w:hideMark/>
          </w:tcPr>
          <w:p w14:paraId="6FD308C0"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Funding Area</w:t>
            </w:r>
          </w:p>
        </w:tc>
        <w:tc>
          <w:tcPr>
            <w:tcW w:w="0" w:type="auto"/>
            <w:hideMark/>
          </w:tcPr>
          <w:p w14:paraId="0E03B047"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Approximate Annual Amount</w:t>
            </w:r>
          </w:p>
        </w:tc>
        <w:tc>
          <w:tcPr>
            <w:tcW w:w="0" w:type="auto"/>
            <w:hideMark/>
          </w:tcPr>
          <w:p w14:paraId="3E8E5774"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Effect</w:t>
            </w:r>
          </w:p>
        </w:tc>
      </w:tr>
      <w:tr w:rsidR="00FE1748" w:rsidRPr="00434A22" w14:paraId="3DDF7991" w14:textId="77777777" w:rsidTr="005E5873">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0" w:type="auto"/>
            <w:hideMark/>
          </w:tcPr>
          <w:p w14:paraId="0F0CCB70"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Realty transfer fees collected</w:t>
            </w:r>
          </w:p>
        </w:tc>
        <w:tc>
          <w:tcPr>
            <w:tcW w:w="0" w:type="auto"/>
            <w:hideMark/>
          </w:tcPr>
          <w:p w14:paraId="78E533D1" w14:textId="77777777" w:rsidR="00FE1748" w:rsidRPr="00B3317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$900 million</w:t>
            </w:r>
          </w:p>
        </w:tc>
        <w:tc>
          <w:tcPr>
            <w:tcW w:w="0" w:type="auto"/>
            <w:hideMark/>
          </w:tcPr>
          <w:p w14:paraId="0C01D89B" w14:textId="77777777" w:rsidR="00FE1748" w:rsidRPr="00B3317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Major housing revenue source</w:t>
            </w:r>
          </w:p>
        </w:tc>
      </w:tr>
      <w:tr w:rsidR="00FE1748" w:rsidRPr="00434A22" w14:paraId="51286036" w14:textId="77777777" w:rsidTr="005E5873">
        <w:trPr>
          <w:trHeight w:val="771"/>
        </w:trPr>
        <w:tc>
          <w:tcPr>
            <w:cnfStyle w:val="001000000000" w:firstRow="0" w:lastRow="0" w:firstColumn="1" w:lastColumn="0" w:oddVBand="0" w:evenVBand="0" w:oddHBand="0" w:evenHBand="0" w:firstRowFirstColumn="0" w:firstRowLastColumn="0" w:lastRowFirstColumn="0" w:lastRowLastColumn="0"/>
            <w:tcW w:w="0" w:type="auto"/>
            <w:hideMark/>
          </w:tcPr>
          <w:p w14:paraId="41477F8D"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Affordable housing for under-80% AMI and non-LIHTC projects</w:t>
            </w:r>
          </w:p>
        </w:tc>
        <w:tc>
          <w:tcPr>
            <w:tcW w:w="0" w:type="auto"/>
            <w:hideMark/>
          </w:tcPr>
          <w:p w14:paraId="6EF50FD3" w14:textId="77777777" w:rsidR="00FE1748" w:rsidRPr="00B3317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w:t>
            </w:r>
            <w:r>
              <w:rPr>
                <w:rFonts w:ascii="Times New Roman" w:hAnsi="Times New Roman" w:cs="Times New Roman"/>
                <w:szCs w:val="22"/>
              </w:rPr>
              <w:t>36</w:t>
            </w:r>
            <w:r w:rsidRPr="00B33174">
              <w:rPr>
                <w:rFonts w:ascii="Times New Roman" w:hAnsi="Times New Roman" w:cs="Times New Roman"/>
                <w:szCs w:val="22"/>
              </w:rPr>
              <w:t xml:space="preserve"> million</w:t>
            </w:r>
          </w:p>
        </w:tc>
        <w:tc>
          <w:tcPr>
            <w:tcW w:w="0" w:type="auto"/>
            <w:hideMark/>
          </w:tcPr>
          <w:p w14:paraId="4A6CF60E" w14:textId="77777777" w:rsidR="00FE1748" w:rsidRPr="00B3317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Pr>
                <w:rFonts w:ascii="Times New Roman" w:hAnsi="Times New Roman" w:cs="Times New Roman"/>
                <w:szCs w:val="22"/>
              </w:rPr>
              <w:t xml:space="preserve">Severely </w:t>
            </w:r>
            <w:r w:rsidRPr="00B33174">
              <w:rPr>
                <w:rFonts w:ascii="Times New Roman" w:hAnsi="Times New Roman" w:cs="Times New Roman"/>
                <w:szCs w:val="22"/>
              </w:rPr>
              <w:t>limited production capacity</w:t>
            </w:r>
          </w:p>
        </w:tc>
      </w:tr>
      <w:tr w:rsidR="00FE1748" w:rsidRPr="00434A22" w14:paraId="2F195A76" w14:textId="77777777" w:rsidTr="005E5873">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0" w:type="auto"/>
            <w:hideMark/>
          </w:tcPr>
          <w:p w14:paraId="14FFCB64"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LIHTC and rental subsidy investment</w:t>
            </w:r>
          </w:p>
        </w:tc>
        <w:tc>
          <w:tcPr>
            <w:tcW w:w="0" w:type="auto"/>
            <w:hideMark/>
          </w:tcPr>
          <w:p w14:paraId="342A71A7" w14:textId="77777777" w:rsidR="00FE1748" w:rsidRPr="00B3317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Large and recurring</w:t>
            </w:r>
            <w:r>
              <w:rPr>
                <w:rFonts w:ascii="Times New Roman" w:hAnsi="Times New Roman" w:cs="Times New Roman"/>
                <w:szCs w:val="22"/>
              </w:rPr>
              <w:t xml:space="preserve"> support</w:t>
            </w:r>
          </w:p>
        </w:tc>
        <w:tc>
          <w:tcPr>
            <w:tcW w:w="0" w:type="auto"/>
            <w:hideMark/>
          </w:tcPr>
          <w:p w14:paraId="5B56E198" w14:textId="77777777" w:rsidR="00FE1748" w:rsidRPr="00B3317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Strongly favors rental pipeline</w:t>
            </w:r>
          </w:p>
        </w:tc>
      </w:tr>
    </w:tbl>
    <w:p w14:paraId="7AB03D53" w14:textId="77777777" w:rsidR="00FE1748" w:rsidRPr="00434A22" w:rsidRDefault="00FE1748" w:rsidP="005E5873">
      <w:pPr>
        <w:rPr>
          <w:rFonts w:ascii="Times New Roman" w:hAnsi="Times New Roman" w:cs="Times New Roman"/>
        </w:rPr>
      </w:pPr>
    </w:p>
    <w:p w14:paraId="562D9EE6" w14:textId="77777777" w:rsidR="00FE1748" w:rsidRPr="00434A22" w:rsidRDefault="00FE1748" w:rsidP="005E5873">
      <w:pPr>
        <w:pStyle w:val="Heading3"/>
        <w:rPr>
          <w:rFonts w:ascii="Times New Roman" w:hAnsi="Times New Roman" w:cs="Times New Roman"/>
          <w:b/>
          <w:bCs/>
        </w:rPr>
      </w:pPr>
      <w:r w:rsidRPr="00434A22">
        <w:rPr>
          <w:rFonts w:ascii="Times New Roman" w:hAnsi="Times New Roman" w:cs="Times New Roman"/>
          <w:b/>
          <w:bCs/>
        </w:rPr>
        <w:t>Why This Matters</w:t>
      </w:r>
    </w:p>
    <w:p w14:paraId="2F35C03D" w14:textId="77777777" w:rsidR="00FE1748" w:rsidRPr="00434A22" w:rsidRDefault="00FE1748" w:rsidP="005E5873">
      <w:pPr>
        <w:pStyle w:val="origin-typography"/>
      </w:pPr>
      <w:r w:rsidRPr="00434A22">
        <w:t>Rental housing remains important, but the current balance does not do enough to support affordable ownership, family wealth creation, or long-term community stability. New Jersey should rebalance its housing investments so affordable homeownership production receives stronger support.</w:t>
      </w:r>
    </w:p>
    <w:p w14:paraId="3C1CA01A" w14:textId="77777777" w:rsidR="00FE1748" w:rsidRPr="00434A22" w:rsidRDefault="00FE1748" w:rsidP="005E5873">
      <w:pPr>
        <w:rPr>
          <w:rFonts w:ascii="Times New Roman" w:hAnsi="Times New Roman" w:cs="Times New Roman"/>
        </w:rPr>
      </w:pPr>
      <w:r>
        <w:rPr>
          <w:rFonts w:ascii="Times New Roman" w:hAnsi="Times New Roman" w:cs="Times New Roman"/>
        </w:rPr>
        <w:pict w14:anchorId="775B03F7">
          <v:rect id="_x0000_i1072" style="width:0;height:1.5pt" o:hralign="center" o:hrstd="t" o:hr="t" fillcolor="#a0a0a0" stroked="f"/>
        </w:pict>
      </w:r>
    </w:p>
    <w:p w14:paraId="3136EB46" w14:textId="77777777" w:rsidR="00FE1748" w:rsidRDefault="00FE1748" w:rsidP="005E5873">
      <w:pPr>
        <w:rPr>
          <w:rFonts w:ascii="Segoe UI Emoji" w:eastAsiaTheme="majorEastAsia" w:hAnsi="Segoe UI Emoji" w:cs="Segoe UI Emoji"/>
          <w:b/>
          <w:bCs/>
          <w:color w:val="B76E0B" w:themeColor="accent1" w:themeShade="BF"/>
          <w:sz w:val="36"/>
          <w:szCs w:val="36"/>
        </w:rPr>
      </w:pPr>
      <w:r>
        <w:rPr>
          <w:rFonts w:ascii="Segoe UI Emoji" w:hAnsi="Segoe UI Emoji" w:cs="Segoe UI Emoji"/>
          <w:b/>
          <w:bCs/>
        </w:rPr>
        <w:br w:type="page"/>
      </w:r>
    </w:p>
    <w:p w14:paraId="22ECB080" w14:textId="77777777" w:rsidR="00FE1748" w:rsidRPr="001C2A6B" w:rsidRDefault="00FE1748" w:rsidP="005E5873">
      <w:pPr>
        <w:pStyle w:val="Heading1"/>
        <w:rPr>
          <w:rFonts w:ascii="Times New Roman" w:hAnsi="Times New Roman" w:cs="Times New Roman"/>
          <w:b w:val="0"/>
          <w:bCs/>
          <w:color w:val="000000" w:themeColor="text1"/>
        </w:rPr>
      </w:pPr>
      <w:r w:rsidRPr="001C2A6B">
        <w:rPr>
          <w:rFonts w:ascii="Segoe UI Emoji" w:hAnsi="Segoe UI Emoji" w:cs="Segoe UI Emoji"/>
          <w:bCs/>
          <w:color w:val="000000" w:themeColor="text1"/>
        </w:rPr>
        <w:lastRenderedPageBreak/>
        <w:t>🟧</w:t>
      </w:r>
      <w:r w:rsidRPr="001C2A6B">
        <w:rPr>
          <w:rFonts w:ascii="Times New Roman" w:hAnsi="Times New Roman" w:cs="Times New Roman"/>
          <w:bCs/>
          <w:color w:val="000000" w:themeColor="text1"/>
        </w:rPr>
        <w:t xml:space="preserve"> Policy Comparison</w:t>
      </w:r>
    </w:p>
    <w:p w14:paraId="6D3BF0B2" w14:textId="77777777" w:rsidR="00FE1748" w:rsidRPr="00434A22" w:rsidRDefault="00FE1748" w:rsidP="005E5873">
      <w:pPr>
        <w:rPr>
          <w:rFonts w:ascii="Times New Roman" w:hAnsi="Times New Roman" w:cs="Times New Roman"/>
        </w:rPr>
      </w:pPr>
    </w:p>
    <w:p w14:paraId="2F8DC078" w14:textId="77777777" w:rsidR="00FE1748" w:rsidRPr="00434A22" w:rsidRDefault="00FE1748" w:rsidP="005E5873">
      <w:pPr>
        <w:pStyle w:val="Heading3"/>
        <w:rPr>
          <w:rFonts w:ascii="Times New Roman" w:hAnsi="Times New Roman" w:cs="Times New Roman"/>
          <w:b/>
          <w:bCs/>
        </w:rPr>
      </w:pPr>
      <w:r w:rsidRPr="0032113F">
        <w:rPr>
          <w:rFonts w:ascii="Segoe UI Emoji" w:hAnsi="Segoe UI Emoji" w:cs="Segoe UI Emoji"/>
        </w:rPr>
        <w:t>🟧</w:t>
      </w:r>
      <w:r w:rsidRPr="00434A22">
        <w:rPr>
          <w:rFonts w:ascii="Times New Roman" w:hAnsi="Times New Roman" w:cs="Times New Roman"/>
          <w:b/>
          <w:bCs/>
        </w:rPr>
        <w:t xml:space="preserve"> </w:t>
      </w:r>
      <w:r w:rsidRPr="002E171C">
        <w:rPr>
          <w:rFonts w:ascii="Times New Roman" w:hAnsi="Times New Roman" w:cs="Times New Roman"/>
        </w:rPr>
        <w:t>Exhibit 9. Down Payment Assistance vs. Homeownership Production</w:t>
      </w:r>
    </w:p>
    <w:p w14:paraId="6C1D9355" w14:textId="77777777" w:rsidR="00FE1748" w:rsidRPr="00434A22" w:rsidRDefault="00FE1748" w:rsidP="005E5873">
      <w:pPr>
        <w:rPr>
          <w:rFonts w:ascii="Times New Roman" w:hAnsi="Times New Roman" w:cs="Times New Roman"/>
        </w:rPr>
      </w:pPr>
    </w:p>
    <w:tbl>
      <w:tblPr>
        <w:tblStyle w:val="ListTable7Colorful-Accent1"/>
        <w:tblW w:w="9343" w:type="dxa"/>
        <w:tblLook w:val="04A0" w:firstRow="1" w:lastRow="0" w:firstColumn="1" w:lastColumn="0" w:noHBand="0" w:noVBand="1"/>
      </w:tblPr>
      <w:tblGrid>
        <w:gridCol w:w="3953"/>
        <w:gridCol w:w="2785"/>
        <w:gridCol w:w="2605"/>
      </w:tblGrid>
      <w:tr w:rsidR="00FE1748" w:rsidRPr="00970321" w14:paraId="3BF03CC5" w14:textId="77777777" w:rsidTr="005E5873">
        <w:trPr>
          <w:cnfStyle w:val="100000000000" w:firstRow="1" w:lastRow="0" w:firstColumn="0" w:lastColumn="0" w:oddVBand="0" w:evenVBand="0" w:oddHBand="0" w:evenHBand="0" w:firstRowFirstColumn="0" w:firstRowLastColumn="0" w:lastRowFirstColumn="0" w:lastRowLastColumn="0"/>
          <w:trHeight w:val="281"/>
        </w:trPr>
        <w:tc>
          <w:tcPr>
            <w:cnfStyle w:val="001000000100" w:firstRow="0" w:lastRow="0" w:firstColumn="1" w:lastColumn="0" w:oddVBand="0" w:evenVBand="0" w:oddHBand="0" w:evenHBand="0" w:firstRowFirstColumn="1" w:firstRowLastColumn="0" w:lastRowFirstColumn="0" w:lastRowLastColumn="0"/>
            <w:tcW w:w="3953" w:type="dxa"/>
          </w:tcPr>
          <w:p w14:paraId="45AA189E" w14:textId="77777777" w:rsidR="00FE1748" w:rsidRPr="00AF6394" w:rsidRDefault="00FE1748" w:rsidP="005E5873">
            <w:pPr>
              <w:rPr>
                <w:rFonts w:ascii="Times New Roman" w:hAnsi="Times New Roman" w:cs="Times New Roman"/>
                <w:b/>
                <w:bCs/>
              </w:rPr>
            </w:pPr>
            <w:r w:rsidRPr="00AF6394">
              <w:rPr>
                <w:rFonts w:ascii="Times New Roman" w:hAnsi="Times New Roman" w:cs="Times New Roman"/>
                <w:b/>
                <w:bCs/>
              </w:rPr>
              <w:t>Policy Approach</w:t>
            </w:r>
          </w:p>
        </w:tc>
        <w:tc>
          <w:tcPr>
            <w:tcW w:w="2785" w:type="dxa"/>
          </w:tcPr>
          <w:p w14:paraId="297F3F3D" w14:textId="77777777" w:rsidR="00FE1748" w:rsidRPr="00AF6394"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AF6394">
              <w:rPr>
                <w:rFonts w:ascii="Times New Roman" w:hAnsi="Times New Roman" w:cs="Times New Roman"/>
                <w:b/>
                <w:bCs/>
              </w:rPr>
              <w:t>Down payment assistance</w:t>
            </w:r>
          </w:p>
        </w:tc>
        <w:tc>
          <w:tcPr>
            <w:tcW w:w="2605" w:type="dxa"/>
          </w:tcPr>
          <w:p w14:paraId="11A9D8D6" w14:textId="77777777" w:rsidR="00FE1748" w:rsidRPr="00AF6394"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AF6394">
              <w:rPr>
                <w:rFonts w:ascii="Times New Roman" w:hAnsi="Times New Roman" w:cs="Times New Roman"/>
                <w:b/>
                <w:bCs/>
              </w:rPr>
              <w:t>Homeownership production</w:t>
            </w:r>
          </w:p>
        </w:tc>
      </w:tr>
      <w:tr w:rsidR="00FE1748" w:rsidRPr="00970321" w14:paraId="1352C55B" w14:textId="77777777" w:rsidTr="005E5873">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953" w:type="dxa"/>
          </w:tcPr>
          <w:p w14:paraId="0A581FCC" w14:textId="77777777" w:rsidR="00FE1748" w:rsidRPr="00970321" w:rsidRDefault="00FE1748" w:rsidP="005E5873">
            <w:pPr>
              <w:rPr>
                <w:rFonts w:ascii="Times New Roman" w:hAnsi="Times New Roman" w:cs="Times New Roman"/>
              </w:rPr>
            </w:pPr>
            <w:proofErr w:type="gramStart"/>
            <w:r w:rsidRPr="00970321">
              <w:rPr>
                <w:rFonts w:ascii="Times New Roman" w:hAnsi="Times New Roman" w:cs="Times New Roman"/>
              </w:rPr>
              <w:t>Creates</w:t>
            </w:r>
            <w:proofErr w:type="gramEnd"/>
            <w:r w:rsidRPr="00970321">
              <w:rPr>
                <w:rFonts w:ascii="Times New Roman" w:hAnsi="Times New Roman" w:cs="Times New Roman"/>
              </w:rPr>
              <w:t xml:space="preserve"> New Homes</w:t>
            </w:r>
          </w:p>
        </w:tc>
        <w:tc>
          <w:tcPr>
            <w:tcW w:w="2785" w:type="dxa"/>
          </w:tcPr>
          <w:p w14:paraId="71C87A7F" w14:textId="77777777" w:rsidR="00FE1748" w:rsidRPr="00AF639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No</w:t>
            </w:r>
          </w:p>
        </w:tc>
        <w:tc>
          <w:tcPr>
            <w:tcW w:w="2605" w:type="dxa"/>
          </w:tcPr>
          <w:p w14:paraId="33104C7A" w14:textId="77777777" w:rsidR="00FE1748" w:rsidRPr="00AF639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Yes</w:t>
            </w:r>
          </w:p>
        </w:tc>
      </w:tr>
      <w:tr w:rsidR="00FE1748" w:rsidRPr="00970321" w14:paraId="5F54D098" w14:textId="77777777" w:rsidTr="005E5873">
        <w:trPr>
          <w:trHeight w:val="567"/>
        </w:trPr>
        <w:tc>
          <w:tcPr>
            <w:cnfStyle w:val="001000000000" w:firstRow="0" w:lastRow="0" w:firstColumn="1" w:lastColumn="0" w:oddVBand="0" w:evenVBand="0" w:oddHBand="0" w:evenHBand="0" w:firstRowFirstColumn="0" w:firstRowLastColumn="0" w:lastRowFirstColumn="0" w:lastRowLastColumn="0"/>
            <w:tcW w:w="3953" w:type="dxa"/>
          </w:tcPr>
          <w:p w14:paraId="6969F026" w14:textId="77777777" w:rsidR="00FE1748" w:rsidRPr="00970321" w:rsidRDefault="00FE1748" w:rsidP="005E5873">
            <w:pPr>
              <w:rPr>
                <w:rFonts w:ascii="Times New Roman" w:hAnsi="Times New Roman" w:cs="Times New Roman"/>
              </w:rPr>
            </w:pPr>
            <w:proofErr w:type="gramStart"/>
            <w:r w:rsidRPr="00970321">
              <w:rPr>
                <w:rFonts w:ascii="Times New Roman" w:hAnsi="Times New Roman" w:cs="Times New Roman"/>
              </w:rPr>
              <w:t>Improves</w:t>
            </w:r>
            <w:proofErr w:type="gramEnd"/>
            <w:r w:rsidRPr="00970321">
              <w:rPr>
                <w:rFonts w:ascii="Times New Roman" w:hAnsi="Times New Roman" w:cs="Times New Roman"/>
              </w:rPr>
              <w:t xml:space="preserve"> Affordability at Scale</w:t>
            </w:r>
          </w:p>
        </w:tc>
        <w:tc>
          <w:tcPr>
            <w:tcW w:w="2785" w:type="dxa"/>
          </w:tcPr>
          <w:p w14:paraId="202ED592" w14:textId="77777777" w:rsidR="00FE1748" w:rsidRPr="00AF639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Limited</w:t>
            </w:r>
          </w:p>
        </w:tc>
        <w:tc>
          <w:tcPr>
            <w:tcW w:w="2605" w:type="dxa"/>
          </w:tcPr>
          <w:p w14:paraId="3FC40DDE" w14:textId="77777777" w:rsidR="00FE1748" w:rsidRPr="00AF639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Yes</w:t>
            </w:r>
          </w:p>
        </w:tc>
      </w:tr>
      <w:tr w:rsidR="00FE1748" w:rsidRPr="00970321" w14:paraId="1B9E20CE" w14:textId="77777777" w:rsidTr="005E587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3953" w:type="dxa"/>
          </w:tcPr>
          <w:p w14:paraId="53D333FB" w14:textId="77777777" w:rsidR="00FE1748" w:rsidRPr="00970321" w:rsidRDefault="00FE1748" w:rsidP="005E5873">
            <w:pPr>
              <w:rPr>
                <w:rFonts w:ascii="Times New Roman" w:hAnsi="Times New Roman" w:cs="Times New Roman"/>
              </w:rPr>
            </w:pPr>
            <w:proofErr w:type="gramStart"/>
            <w:r w:rsidRPr="00970321">
              <w:rPr>
                <w:rFonts w:ascii="Times New Roman" w:hAnsi="Times New Roman" w:cs="Times New Roman"/>
              </w:rPr>
              <w:t>Helps</w:t>
            </w:r>
            <w:proofErr w:type="gramEnd"/>
            <w:r w:rsidRPr="00970321">
              <w:rPr>
                <w:rFonts w:ascii="Times New Roman" w:hAnsi="Times New Roman" w:cs="Times New Roman"/>
              </w:rPr>
              <w:t xml:space="preserve"> Households Under 80% AMI</w:t>
            </w:r>
          </w:p>
        </w:tc>
        <w:tc>
          <w:tcPr>
            <w:tcW w:w="2785" w:type="dxa"/>
          </w:tcPr>
          <w:p w14:paraId="687DF913" w14:textId="77777777" w:rsidR="00FE1748" w:rsidRPr="00AF639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Limited</w:t>
            </w:r>
          </w:p>
        </w:tc>
        <w:tc>
          <w:tcPr>
            <w:tcW w:w="2605" w:type="dxa"/>
          </w:tcPr>
          <w:p w14:paraId="43C94663" w14:textId="77777777" w:rsidR="00FE1748" w:rsidRPr="00AF639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Yes</w:t>
            </w:r>
          </w:p>
        </w:tc>
      </w:tr>
      <w:tr w:rsidR="00FE1748" w:rsidRPr="00970321" w14:paraId="444A2CA3" w14:textId="77777777" w:rsidTr="005E5873">
        <w:trPr>
          <w:trHeight w:val="295"/>
        </w:trPr>
        <w:tc>
          <w:tcPr>
            <w:cnfStyle w:val="001000000000" w:firstRow="0" w:lastRow="0" w:firstColumn="1" w:lastColumn="0" w:oddVBand="0" w:evenVBand="0" w:oddHBand="0" w:evenHBand="0" w:firstRowFirstColumn="0" w:firstRowLastColumn="0" w:lastRowFirstColumn="0" w:lastRowLastColumn="0"/>
            <w:tcW w:w="3953" w:type="dxa"/>
          </w:tcPr>
          <w:p w14:paraId="1C5D3456" w14:textId="77777777" w:rsidR="00FE1748" w:rsidRPr="00970321" w:rsidRDefault="00FE1748" w:rsidP="005E5873">
            <w:pPr>
              <w:rPr>
                <w:rFonts w:ascii="Times New Roman" w:hAnsi="Times New Roman" w:cs="Times New Roman"/>
              </w:rPr>
            </w:pPr>
            <w:r w:rsidRPr="00970321">
              <w:rPr>
                <w:rFonts w:ascii="Times New Roman" w:hAnsi="Times New Roman" w:cs="Times New Roman"/>
              </w:rPr>
              <w:t>Builds Wealth</w:t>
            </w:r>
          </w:p>
        </w:tc>
        <w:tc>
          <w:tcPr>
            <w:tcW w:w="2785" w:type="dxa"/>
          </w:tcPr>
          <w:p w14:paraId="3EAD953E" w14:textId="77777777" w:rsidR="00FE1748" w:rsidRPr="00AF639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Limited</w:t>
            </w:r>
          </w:p>
        </w:tc>
        <w:tc>
          <w:tcPr>
            <w:tcW w:w="2605" w:type="dxa"/>
          </w:tcPr>
          <w:p w14:paraId="244348BC" w14:textId="77777777" w:rsidR="00FE1748" w:rsidRPr="00AF639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Yes</w:t>
            </w:r>
          </w:p>
        </w:tc>
      </w:tr>
    </w:tbl>
    <w:p w14:paraId="6C9F48F9" w14:textId="77777777" w:rsidR="00FE1748" w:rsidRPr="00434A22" w:rsidRDefault="00FE1748" w:rsidP="005E5873">
      <w:pPr>
        <w:rPr>
          <w:rFonts w:ascii="Times New Roman" w:hAnsi="Times New Roman" w:cs="Times New Roman"/>
        </w:rPr>
      </w:pPr>
    </w:p>
    <w:p w14:paraId="35BF578B" w14:textId="77777777" w:rsidR="00FE1748" w:rsidRPr="00434A22" w:rsidRDefault="00FE1748" w:rsidP="005E5873">
      <w:pPr>
        <w:pStyle w:val="Heading3"/>
        <w:rPr>
          <w:rFonts w:ascii="Times New Roman" w:hAnsi="Times New Roman" w:cs="Times New Roman"/>
          <w:b/>
          <w:bCs/>
        </w:rPr>
      </w:pPr>
      <w:r w:rsidRPr="00434A22">
        <w:rPr>
          <w:rFonts w:ascii="Times New Roman" w:hAnsi="Times New Roman" w:cs="Times New Roman"/>
          <w:b/>
          <w:bCs/>
        </w:rPr>
        <w:t>Key Takeaway</w:t>
      </w:r>
    </w:p>
    <w:p w14:paraId="088E364F" w14:textId="77777777" w:rsidR="00FE1748" w:rsidRDefault="00FE1748" w:rsidP="005E5873">
      <w:pPr>
        <w:pStyle w:val="origin-typography"/>
        <w:spacing w:before="0" w:beforeAutospacing="0" w:after="0" w:afterAutospacing="0"/>
      </w:pPr>
    </w:p>
    <w:p w14:paraId="52C61AC3" w14:textId="77777777" w:rsidR="00FE1748" w:rsidRDefault="00FE1748" w:rsidP="005E5873">
      <w:pPr>
        <w:pStyle w:val="origin-typography"/>
        <w:spacing w:before="0" w:beforeAutospacing="0" w:after="0" w:afterAutospacing="0"/>
      </w:pPr>
      <w:r>
        <w:t>Down payment assistance is a transaction tool, whereas homeownership production is a structural affordability strategy.</w:t>
      </w:r>
    </w:p>
    <w:p w14:paraId="14FD8F2C" w14:textId="77777777" w:rsidR="00FE1748" w:rsidRDefault="00FE1748" w:rsidP="005E5873">
      <w:pPr>
        <w:pStyle w:val="origin-typography"/>
        <w:spacing w:before="0" w:beforeAutospacing="0" w:after="0" w:afterAutospacing="0"/>
      </w:pPr>
    </w:p>
    <w:p w14:paraId="5E6A46C7" w14:textId="77777777" w:rsidR="00FE1748" w:rsidRDefault="00FE1748" w:rsidP="005E5873">
      <w:pPr>
        <w:pStyle w:val="origin-typography"/>
        <w:spacing w:before="0" w:beforeAutospacing="0" w:after="0" w:afterAutospacing="0"/>
      </w:pPr>
      <w:r>
        <w:t>The state should shift a greater share of its housing resources toward the production of affordable homes for sale. While targeted buyer assistance remains appropriate in certain cases, down payment assistance should not be relied upon as the primary response to the homeownership affordability crisis.</w:t>
      </w:r>
    </w:p>
    <w:p w14:paraId="2E2A182F" w14:textId="77777777" w:rsidR="00FE1748" w:rsidRDefault="00FE1748" w:rsidP="005E5873">
      <w:pPr>
        <w:pStyle w:val="origin-typography"/>
        <w:spacing w:before="0" w:beforeAutospacing="0" w:after="0" w:afterAutospacing="0"/>
      </w:pPr>
    </w:p>
    <w:p w14:paraId="1FEE9F63" w14:textId="77777777" w:rsidR="00FE1748" w:rsidRDefault="00FE1748" w:rsidP="005E5873">
      <w:pPr>
        <w:pStyle w:val="origin-typography"/>
        <w:spacing w:before="0" w:beforeAutospacing="0" w:after="0" w:afterAutospacing="0"/>
      </w:pPr>
      <w:r>
        <w:t>A stronger policy approach would leverage public funding, vacant land, underused properties, nonprofit development capacity, and local housing plans to create affordable homes that working families can realistically purchase.</w:t>
      </w:r>
    </w:p>
    <w:p w14:paraId="20656A6A" w14:textId="77777777" w:rsidR="00FE1748" w:rsidRPr="00434A22" w:rsidRDefault="00FE1748" w:rsidP="005E5873">
      <w:pPr>
        <w:pStyle w:val="origin-typography"/>
      </w:pPr>
      <w:r>
        <w:pict w14:anchorId="79B405BA">
          <v:rect id="_x0000_i1073" style="width:0;height:1.5pt" o:hralign="center" o:hrstd="t" o:hr="t" fillcolor="#a0a0a0" stroked="f"/>
        </w:pict>
      </w:r>
    </w:p>
    <w:p w14:paraId="6DB028FD" w14:textId="77777777" w:rsidR="00FE1748" w:rsidRPr="00434A22" w:rsidRDefault="00FE1748" w:rsidP="005E5873">
      <w:pPr>
        <w:rPr>
          <w:rFonts w:ascii="Times New Roman" w:hAnsi="Times New Roman" w:cs="Times New Roman"/>
        </w:rPr>
      </w:pPr>
    </w:p>
    <w:p w14:paraId="1A2172DD" w14:textId="77777777" w:rsidR="00FE1748" w:rsidRDefault="00FE1748" w:rsidP="005E5873">
      <w:pPr>
        <w:rPr>
          <w:rFonts w:ascii="Segoe UI Emoji" w:eastAsiaTheme="majorEastAsia" w:hAnsi="Segoe UI Emoji" w:cs="Segoe UI Emoji"/>
          <w:b/>
          <w:bCs/>
          <w:color w:val="B76E0B" w:themeColor="accent1" w:themeShade="BF"/>
          <w:sz w:val="28"/>
          <w:szCs w:val="28"/>
        </w:rPr>
      </w:pPr>
      <w:r>
        <w:rPr>
          <w:rFonts w:ascii="Segoe UI Emoji" w:hAnsi="Segoe UI Emoji" w:cs="Segoe UI Emoji"/>
          <w:b/>
          <w:bCs/>
        </w:rPr>
        <w:br w:type="page"/>
      </w:r>
    </w:p>
    <w:p w14:paraId="104052FE" w14:textId="77777777" w:rsidR="00FE1748" w:rsidRPr="00E354AD" w:rsidRDefault="00FE1748" w:rsidP="005E5873">
      <w:pPr>
        <w:pStyle w:val="Heading2"/>
        <w:rPr>
          <w:rFonts w:ascii="Times New Roman" w:hAnsi="Times New Roman" w:cs="Times New Roman"/>
          <w:b w:val="0"/>
          <w:bCs/>
          <w:color w:val="F09415" w:themeColor="accent1"/>
          <w:sz w:val="36"/>
          <w:szCs w:val="36"/>
        </w:rPr>
      </w:pPr>
      <w:r w:rsidRPr="00E354AD">
        <w:rPr>
          <w:rFonts w:ascii="Segoe UI Emoji" w:hAnsi="Segoe UI Emoji" w:cs="Segoe UI Emoji"/>
          <w:bCs/>
          <w:color w:val="F09415" w:themeColor="accent1"/>
          <w:sz w:val="36"/>
          <w:szCs w:val="36"/>
        </w:rPr>
        <w:lastRenderedPageBreak/>
        <w:t>🟧</w:t>
      </w:r>
      <w:r w:rsidRPr="00E354AD">
        <w:rPr>
          <w:rFonts w:ascii="Times New Roman" w:hAnsi="Times New Roman" w:cs="Times New Roman"/>
          <w:bCs/>
          <w:color w:val="F09415" w:themeColor="accent1"/>
          <w:sz w:val="36"/>
          <w:szCs w:val="36"/>
        </w:rPr>
        <w:t xml:space="preserve"> Recommended Actions</w:t>
      </w:r>
    </w:p>
    <w:p w14:paraId="0EBC916D" w14:textId="77777777" w:rsidR="00FE1748" w:rsidRPr="00434A22" w:rsidRDefault="00FE1748" w:rsidP="005E5873">
      <w:pPr>
        <w:rPr>
          <w:rFonts w:ascii="Times New Roman" w:hAnsi="Times New Roman" w:cs="Times New Roman"/>
        </w:rPr>
      </w:pPr>
    </w:p>
    <w:p w14:paraId="7323AA15" w14:textId="77777777" w:rsidR="00FE1748" w:rsidRPr="00434A22" w:rsidRDefault="00FE1748" w:rsidP="005E5873">
      <w:pPr>
        <w:pStyle w:val="Heading3"/>
        <w:rPr>
          <w:rFonts w:ascii="Times New Roman" w:hAnsi="Times New Roman" w:cs="Times New Roman"/>
        </w:rPr>
      </w:pPr>
      <w:r w:rsidRPr="0045423B">
        <w:rPr>
          <w:rFonts w:ascii="Times New Roman" w:hAnsi="Times New Roman" w:cs="Times New Roman"/>
          <w:b/>
          <w:bCs/>
        </w:rPr>
        <w:t>1.</w:t>
      </w:r>
      <w:r w:rsidRPr="00434A22">
        <w:rPr>
          <w:rFonts w:ascii="Times New Roman" w:hAnsi="Times New Roman" w:cs="Times New Roman"/>
        </w:rPr>
        <w:t xml:space="preserve"> </w:t>
      </w:r>
      <w:r w:rsidRPr="00AE1AA2">
        <w:rPr>
          <w:rFonts w:ascii="Times New Roman" w:hAnsi="Times New Roman" w:cs="Times New Roman"/>
          <w:b/>
          <w:bCs/>
        </w:rPr>
        <w:t>Increase investment in affordable homes for sale</w:t>
      </w:r>
    </w:p>
    <w:p w14:paraId="3A40DD44" w14:textId="77777777" w:rsidR="00FE1748" w:rsidRPr="00434A22" w:rsidRDefault="00FE1748" w:rsidP="005E5873">
      <w:pPr>
        <w:pStyle w:val="origin-typography"/>
      </w:pPr>
      <w:r w:rsidRPr="00434A22">
        <w:t>New Jersey should dedicate more housing resources to producing affordable ownership units, especially for households below 80% of area median income.</w:t>
      </w:r>
    </w:p>
    <w:p w14:paraId="65755A6F" w14:textId="77777777" w:rsidR="00FE1748" w:rsidRPr="00434A22" w:rsidRDefault="00FE1748" w:rsidP="005E5873">
      <w:pPr>
        <w:pStyle w:val="Heading3"/>
        <w:rPr>
          <w:rFonts w:ascii="Times New Roman" w:hAnsi="Times New Roman" w:cs="Times New Roman"/>
        </w:rPr>
      </w:pPr>
      <w:r w:rsidRPr="0045423B">
        <w:rPr>
          <w:rFonts w:ascii="Times New Roman" w:hAnsi="Times New Roman" w:cs="Times New Roman"/>
          <w:b/>
          <w:bCs/>
        </w:rPr>
        <w:t>2.</w:t>
      </w:r>
      <w:r w:rsidRPr="00434A22">
        <w:rPr>
          <w:rFonts w:ascii="Times New Roman" w:hAnsi="Times New Roman" w:cs="Times New Roman"/>
        </w:rPr>
        <w:t xml:space="preserve"> </w:t>
      </w:r>
      <w:r w:rsidRPr="00AE1AA2">
        <w:rPr>
          <w:rFonts w:ascii="Times New Roman" w:hAnsi="Times New Roman" w:cs="Times New Roman"/>
          <w:b/>
          <w:bCs/>
        </w:rPr>
        <w:t>Prioritize vacant and underused land</w:t>
      </w:r>
    </w:p>
    <w:p w14:paraId="621B4145" w14:textId="77777777" w:rsidR="00FE1748" w:rsidRPr="00434A22" w:rsidRDefault="00FE1748" w:rsidP="005E5873">
      <w:pPr>
        <w:pStyle w:val="origin-typography"/>
      </w:pPr>
      <w:r w:rsidRPr="00434A22">
        <w:t>State, county, municipal, and nonprofit partners should identify vacant lots, abandoned properties, public land, and underused parcels that can support affordable homeownership development.</w:t>
      </w:r>
    </w:p>
    <w:p w14:paraId="4AA3D1F4" w14:textId="77777777" w:rsidR="00FE1748" w:rsidRPr="00AE1AA2" w:rsidRDefault="00FE1748" w:rsidP="005E5873">
      <w:pPr>
        <w:pStyle w:val="Heading3"/>
        <w:rPr>
          <w:rFonts w:ascii="Times New Roman" w:hAnsi="Times New Roman" w:cs="Times New Roman"/>
          <w:b/>
          <w:bCs/>
        </w:rPr>
      </w:pPr>
      <w:r w:rsidRPr="0045423B">
        <w:rPr>
          <w:rFonts w:ascii="Times New Roman" w:hAnsi="Times New Roman" w:cs="Times New Roman"/>
          <w:b/>
          <w:bCs/>
        </w:rPr>
        <w:t>3.</w:t>
      </w:r>
      <w:r w:rsidRPr="00434A22">
        <w:rPr>
          <w:rFonts w:ascii="Times New Roman" w:hAnsi="Times New Roman" w:cs="Times New Roman"/>
        </w:rPr>
        <w:t xml:space="preserve"> </w:t>
      </w:r>
      <w:r w:rsidRPr="00AE1AA2">
        <w:rPr>
          <w:rFonts w:ascii="Times New Roman" w:hAnsi="Times New Roman" w:cs="Times New Roman"/>
          <w:b/>
          <w:bCs/>
        </w:rPr>
        <w:t>Rebalance subsidies between rental and ownership production</w:t>
      </w:r>
    </w:p>
    <w:p w14:paraId="09BA47F9" w14:textId="77777777" w:rsidR="00FE1748" w:rsidRPr="00434A22" w:rsidRDefault="00FE1748" w:rsidP="005E5873">
      <w:pPr>
        <w:pStyle w:val="origin-typography"/>
      </w:pPr>
      <w:r w:rsidRPr="00434A22">
        <w:t>Rental housing should remain part of the state’s housing strategy, but ownership production should receive stronger support so families can build equity and remain rooted in their communities.</w:t>
      </w:r>
    </w:p>
    <w:p w14:paraId="4A67D620" w14:textId="77777777" w:rsidR="00FE1748" w:rsidRPr="00434A22" w:rsidRDefault="00FE1748" w:rsidP="005E5873">
      <w:pPr>
        <w:pStyle w:val="Heading3"/>
        <w:rPr>
          <w:rFonts w:ascii="Times New Roman" w:hAnsi="Times New Roman" w:cs="Times New Roman"/>
        </w:rPr>
      </w:pPr>
      <w:r w:rsidRPr="0045423B">
        <w:rPr>
          <w:rFonts w:ascii="Times New Roman" w:hAnsi="Times New Roman" w:cs="Times New Roman"/>
          <w:b/>
          <w:bCs/>
        </w:rPr>
        <w:t>4.</w:t>
      </w:r>
      <w:r w:rsidRPr="00434A22">
        <w:rPr>
          <w:rFonts w:ascii="Times New Roman" w:hAnsi="Times New Roman" w:cs="Times New Roman"/>
        </w:rPr>
        <w:t xml:space="preserve"> </w:t>
      </w:r>
      <w:r w:rsidRPr="0045423B">
        <w:rPr>
          <w:rFonts w:ascii="Times New Roman" w:hAnsi="Times New Roman" w:cs="Times New Roman"/>
          <w:b/>
          <w:bCs/>
        </w:rPr>
        <w:t>Strengthen Mount Laurel implementation</w:t>
      </w:r>
    </w:p>
    <w:p w14:paraId="0C8E6C16" w14:textId="77777777" w:rsidR="00FE1748" w:rsidRPr="00434A22" w:rsidRDefault="00FE1748" w:rsidP="005E5873">
      <w:pPr>
        <w:pStyle w:val="origin-typography"/>
      </w:pPr>
      <w:r w:rsidRPr="00434A22">
        <w:t>Mount Laurel compliance should support both affordable rental housing and affordable homeownership. Local fair share plans should include ownership strategies where feasible.</w:t>
      </w:r>
    </w:p>
    <w:p w14:paraId="4ED52F07" w14:textId="77777777" w:rsidR="00FE1748" w:rsidRPr="00434A22" w:rsidRDefault="00FE1748" w:rsidP="005E5873">
      <w:pPr>
        <w:pStyle w:val="Heading3"/>
        <w:rPr>
          <w:rFonts w:ascii="Times New Roman" w:hAnsi="Times New Roman" w:cs="Times New Roman"/>
        </w:rPr>
      </w:pPr>
      <w:r w:rsidRPr="0045423B">
        <w:rPr>
          <w:rFonts w:ascii="Times New Roman" w:hAnsi="Times New Roman" w:cs="Times New Roman"/>
          <w:b/>
          <w:bCs/>
        </w:rPr>
        <w:t>5.</w:t>
      </w:r>
      <w:r w:rsidRPr="00434A22">
        <w:rPr>
          <w:rFonts w:ascii="Times New Roman" w:hAnsi="Times New Roman" w:cs="Times New Roman"/>
        </w:rPr>
        <w:t xml:space="preserve"> </w:t>
      </w:r>
      <w:r w:rsidRPr="0045423B">
        <w:rPr>
          <w:rFonts w:ascii="Times New Roman" w:hAnsi="Times New Roman" w:cs="Times New Roman"/>
          <w:b/>
          <w:bCs/>
        </w:rPr>
        <w:t>Use shared equity and long-term affordability models</w:t>
      </w:r>
    </w:p>
    <w:p w14:paraId="637A11BB" w14:textId="77777777" w:rsidR="00FE1748" w:rsidRPr="00434A22" w:rsidRDefault="00FE1748" w:rsidP="005E5873">
      <w:pPr>
        <w:pStyle w:val="origin-typography"/>
      </w:pPr>
      <w:r w:rsidRPr="00434A22">
        <w:t>Shared</w:t>
      </w:r>
      <w:r>
        <w:t xml:space="preserve"> </w:t>
      </w:r>
      <w:r w:rsidRPr="00434A22">
        <w:t>equity models can preserve affordability across multiple buyers while still allowing families to build wealth.</w:t>
      </w:r>
      <w:r>
        <w:rPr>
          <w:rStyle w:val="FootnoteReference"/>
        </w:rPr>
        <w:footnoteReference w:id="10"/>
      </w:r>
    </w:p>
    <w:p w14:paraId="5D072C3E" w14:textId="77777777" w:rsidR="00FE1748" w:rsidRPr="00434A22" w:rsidRDefault="00FE1748" w:rsidP="005E5873">
      <w:pPr>
        <w:pStyle w:val="Heading3"/>
        <w:rPr>
          <w:rFonts w:ascii="Times New Roman" w:hAnsi="Times New Roman" w:cs="Times New Roman"/>
        </w:rPr>
      </w:pPr>
      <w:r w:rsidRPr="0045423B">
        <w:rPr>
          <w:rFonts w:ascii="Times New Roman" w:hAnsi="Times New Roman" w:cs="Times New Roman"/>
          <w:b/>
          <w:bCs/>
        </w:rPr>
        <w:t>6.</w:t>
      </w:r>
      <w:r w:rsidRPr="00434A22">
        <w:rPr>
          <w:rFonts w:ascii="Times New Roman" w:hAnsi="Times New Roman" w:cs="Times New Roman"/>
        </w:rPr>
        <w:t xml:space="preserve"> </w:t>
      </w:r>
      <w:r w:rsidRPr="0045423B">
        <w:rPr>
          <w:rFonts w:ascii="Times New Roman" w:hAnsi="Times New Roman" w:cs="Times New Roman"/>
          <w:b/>
          <w:bCs/>
        </w:rPr>
        <w:t>Target assistance to households with the greatest need</w:t>
      </w:r>
    </w:p>
    <w:p w14:paraId="77392348" w14:textId="77777777" w:rsidR="00FE1748" w:rsidRPr="00434A22" w:rsidRDefault="00FE1748" w:rsidP="005E5873">
      <w:pPr>
        <w:pStyle w:val="origin-typography"/>
      </w:pPr>
      <w:r w:rsidRPr="00434A22">
        <w:t>Public resources should focus on households that cannot access ownership without deeper affordability, not only on buyers who are already close to qualifying for market-rate homes.</w:t>
      </w:r>
    </w:p>
    <w:p w14:paraId="660B7C69" w14:textId="77777777" w:rsidR="00FE1748" w:rsidRPr="00434A22" w:rsidRDefault="00FE1748" w:rsidP="005E5873">
      <w:pPr>
        <w:rPr>
          <w:rFonts w:ascii="Times New Roman" w:hAnsi="Times New Roman" w:cs="Times New Roman"/>
        </w:rPr>
      </w:pPr>
      <w:r>
        <w:rPr>
          <w:rFonts w:ascii="Times New Roman" w:hAnsi="Times New Roman" w:cs="Times New Roman"/>
        </w:rPr>
        <w:pict w14:anchorId="0A4C9919">
          <v:rect id="_x0000_i1074" style="width:0;height:1.5pt" o:hralign="center" o:hrstd="t" o:hr="t" fillcolor="#a0a0a0" stroked="f"/>
        </w:pict>
      </w:r>
    </w:p>
    <w:p w14:paraId="61B0C0B4" w14:textId="77777777" w:rsidR="00FE1748" w:rsidRPr="00434A22" w:rsidRDefault="00FE1748" w:rsidP="005E5873">
      <w:pPr>
        <w:rPr>
          <w:rFonts w:ascii="Times New Roman" w:eastAsiaTheme="majorEastAsia" w:hAnsi="Times New Roman" w:cs="Times New Roman"/>
          <w:b/>
          <w:bCs/>
          <w:color w:val="B76E0B" w:themeColor="accent1" w:themeShade="BF"/>
          <w:sz w:val="36"/>
          <w:szCs w:val="36"/>
        </w:rPr>
      </w:pPr>
      <w:r w:rsidRPr="00434A22">
        <w:rPr>
          <w:rFonts w:ascii="Times New Roman" w:hAnsi="Times New Roman" w:cs="Times New Roman"/>
          <w:b/>
          <w:bCs/>
        </w:rPr>
        <w:br w:type="page"/>
      </w:r>
    </w:p>
    <w:p w14:paraId="54DD9D32" w14:textId="77777777" w:rsidR="00FE1748" w:rsidRPr="001C2A6B" w:rsidRDefault="00FE1748" w:rsidP="005E5873">
      <w:pPr>
        <w:pStyle w:val="Heading1"/>
        <w:rPr>
          <w:rFonts w:ascii="Times New Roman" w:hAnsi="Times New Roman" w:cs="Times New Roman"/>
          <w:b w:val="0"/>
          <w:bCs/>
          <w:color w:val="000000" w:themeColor="text1"/>
        </w:rPr>
      </w:pPr>
      <w:r w:rsidRPr="001C2A6B">
        <w:rPr>
          <w:rFonts w:ascii="Segoe UI Emoji" w:hAnsi="Segoe UI Emoji" w:cs="Segoe UI Emoji"/>
          <w:bCs/>
          <w:color w:val="000000" w:themeColor="text1"/>
        </w:rPr>
        <w:lastRenderedPageBreak/>
        <w:t>🟧</w:t>
      </w:r>
      <w:r w:rsidRPr="001C2A6B">
        <w:rPr>
          <w:rFonts w:ascii="Times New Roman" w:hAnsi="Times New Roman" w:cs="Times New Roman"/>
          <w:bCs/>
          <w:color w:val="000000" w:themeColor="text1"/>
        </w:rPr>
        <w:t xml:space="preserve"> Implementation Framework</w:t>
      </w:r>
    </w:p>
    <w:p w14:paraId="54E45EE7" w14:textId="77777777" w:rsidR="00FE1748" w:rsidRPr="00434A22" w:rsidRDefault="00FE1748" w:rsidP="005E5873">
      <w:pPr>
        <w:rPr>
          <w:rFonts w:ascii="Times New Roman" w:hAnsi="Times New Roman" w:cs="Times New Roman"/>
        </w:rPr>
      </w:pPr>
    </w:p>
    <w:p w14:paraId="5819B8A8" w14:textId="77777777" w:rsidR="00FE1748" w:rsidRPr="00434A22" w:rsidRDefault="00FE1748" w:rsidP="005E5873">
      <w:pPr>
        <w:pStyle w:val="Heading3"/>
        <w:rPr>
          <w:rFonts w:ascii="Times New Roman" w:hAnsi="Times New Roman" w:cs="Times New Roman"/>
          <w:b/>
          <w:bCs/>
        </w:rPr>
      </w:pPr>
      <w:r w:rsidRPr="00434A22">
        <w:rPr>
          <w:rFonts w:ascii="Segoe UI Emoji" w:hAnsi="Segoe UI Emoji" w:cs="Segoe UI Emoji"/>
        </w:rPr>
        <w:t>🟧</w:t>
      </w:r>
      <w:r w:rsidRPr="00434A22">
        <w:rPr>
          <w:rFonts w:ascii="Times New Roman" w:hAnsi="Times New Roman" w:cs="Times New Roman"/>
        </w:rPr>
        <w:t xml:space="preserve"> </w:t>
      </w:r>
      <w:r w:rsidRPr="00434A22">
        <w:rPr>
          <w:rFonts w:ascii="Times New Roman" w:hAnsi="Times New Roman" w:cs="Times New Roman"/>
          <w:b/>
          <w:bCs/>
        </w:rPr>
        <w:t>Exhibit 10. Practical Tools for Affordable Homeownership Production</w:t>
      </w:r>
    </w:p>
    <w:p w14:paraId="6DCDDEB8" w14:textId="77777777" w:rsidR="00FE1748" w:rsidRPr="00434A22" w:rsidRDefault="00FE1748" w:rsidP="005E5873">
      <w:pPr>
        <w:rPr>
          <w:rFonts w:ascii="Times New Roman" w:hAnsi="Times New Roman" w:cs="Times New Roman"/>
        </w:rPr>
      </w:pPr>
    </w:p>
    <w:tbl>
      <w:tblPr>
        <w:tblStyle w:val="ListTable7Colorful-Accent1"/>
        <w:tblW w:w="9422" w:type="dxa"/>
        <w:tblLook w:val="04A0" w:firstRow="1" w:lastRow="0" w:firstColumn="1" w:lastColumn="0" w:noHBand="0" w:noVBand="1"/>
      </w:tblPr>
      <w:tblGrid>
        <w:gridCol w:w="2886"/>
        <w:gridCol w:w="2617"/>
        <w:gridCol w:w="3919"/>
      </w:tblGrid>
      <w:tr w:rsidR="00FE1748" w:rsidRPr="00434A22" w14:paraId="40314D05" w14:textId="77777777" w:rsidTr="005E5873">
        <w:trPr>
          <w:cnfStyle w:val="100000000000" w:firstRow="1" w:lastRow="0" w:firstColumn="0" w:lastColumn="0" w:oddVBand="0" w:evenVBand="0" w:oddHBand="0" w:evenHBand="0" w:firstRowFirstColumn="0" w:firstRowLastColumn="0" w:lastRowFirstColumn="0" w:lastRowLastColumn="0"/>
          <w:trHeight w:val="417"/>
        </w:trPr>
        <w:tc>
          <w:tcPr>
            <w:cnfStyle w:val="001000000100" w:firstRow="0" w:lastRow="0" w:firstColumn="1" w:lastColumn="0" w:oddVBand="0" w:evenVBand="0" w:oddHBand="0" w:evenHBand="0" w:firstRowFirstColumn="1" w:firstRowLastColumn="0" w:lastRowFirstColumn="0" w:lastRowLastColumn="0"/>
            <w:tcW w:w="0" w:type="auto"/>
            <w:hideMark/>
          </w:tcPr>
          <w:p w14:paraId="0DE622F2"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Policy Tool</w:t>
            </w:r>
          </w:p>
        </w:tc>
        <w:tc>
          <w:tcPr>
            <w:tcW w:w="0" w:type="auto"/>
            <w:hideMark/>
          </w:tcPr>
          <w:p w14:paraId="50D7592F" w14:textId="77777777" w:rsidR="00FE1748" w:rsidRPr="00434A22" w:rsidRDefault="00FE1748" w:rsidP="005E58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Purpose</w:t>
            </w:r>
          </w:p>
        </w:tc>
        <w:tc>
          <w:tcPr>
            <w:tcW w:w="0" w:type="auto"/>
            <w:hideMark/>
          </w:tcPr>
          <w:p w14:paraId="70852D8C" w14:textId="77777777" w:rsidR="00FE1748" w:rsidRPr="00434A22" w:rsidRDefault="00FE1748" w:rsidP="005E58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Expected Result</w:t>
            </w:r>
          </w:p>
        </w:tc>
      </w:tr>
      <w:tr w:rsidR="00FE1748" w:rsidRPr="00434A22" w14:paraId="7FA99B46" w14:textId="77777777" w:rsidTr="005E5873">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0" w:type="auto"/>
            <w:hideMark/>
          </w:tcPr>
          <w:p w14:paraId="3E6487B7"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Dedicated ownership production fund</w:t>
            </w:r>
          </w:p>
        </w:tc>
        <w:tc>
          <w:tcPr>
            <w:tcW w:w="0" w:type="auto"/>
            <w:hideMark/>
          </w:tcPr>
          <w:p w14:paraId="31B75B96" w14:textId="77777777" w:rsidR="00FE1748" w:rsidRPr="00747095" w:rsidRDefault="00FE1748" w:rsidP="005E58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Finance new affordable homes for sale</w:t>
            </w:r>
          </w:p>
        </w:tc>
        <w:tc>
          <w:tcPr>
            <w:tcW w:w="0" w:type="auto"/>
            <w:hideMark/>
          </w:tcPr>
          <w:p w14:paraId="624156BE" w14:textId="77777777" w:rsidR="00FE1748" w:rsidRPr="00747095" w:rsidRDefault="00FE1748" w:rsidP="005E58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More units available to income-qualified buyers</w:t>
            </w:r>
          </w:p>
        </w:tc>
      </w:tr>
      <w:tr w:rsidR="00FE1748" w:rsidRPr="00434A22" w14:paraId="5CC7D84E" w14:textId="77777777" w:rsidTr="005E5873">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28B6CDFC"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Public land strategy</w:t>
            </w:r>
          </w:p>
        </w:tc>
        <w:tc>
          <w:tcPr>
            <w:tcW w:w="0" w:type="auto"/>
            <w:hideMark/>
          </w:tcPr>
          <w:p w14:paraId="0808F246" w14:textId="77777777" w:rsidR="00FE1748" w:rsidRPr="00747095" w:rsidRDefault="00FE1748" w:rsidP="005E58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Reduce land costs</w:t>
            </w:r>
          </w:p>
        </w:tc>
        <w:tc>
          <w:tcPr>
            <w:tcW w:w="0" w:type="auto"/>
            <w:hideMark/>
          </w:tcPr>
          <w:p w14:paraId="5A4323F8" w14:textId="77777777" w:rsidR="00FE1748" w:rsidRPr="00747095" w:rsidRDefault="00FE1748" w:rsidP="005E58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Lower total development cost</w:t>
            </w:r>
          </w:p>
        </w:tc>
      </w:tr>
      <w:tr w:rsidR="00FE1748" w:rsidRPr="00434A22" w14:paraId="1F46BD57" w14:textId="77777777" w:rsidTr="005E5873">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0" w:type="auto"/>
            <w:hideMark/>
          </w:tcPr>
          <w:p w14:paraId="79C201CC"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Nonprofit development support</w:t>
            </w:r>
          </w:p>
        </w:tc>
        <w:tc>
          <w:tcPr>
            <w:tcW w:w="0" w:type="auto"/>
            <w:hideMark/>
          </w:tcPr>
          <w:p w14:paraId="22CBEAAB" w14:textId="77777777" w:rsidR="00FE1748" w:rsidRPr="00747095" w:rsidRDefault="00FE1748" w:rsidP="005E58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Build mission-driven capacity</w:t>
            </w:r>
          </w:p>
        </w:tc>
        <w:tc>
          <w:tcPr>
            <w:tcW w:w="0" w:type="auto"/>
            <w:hideMark/>
          </w:tcPr>
          <w:p w14:paraId="03F669D5" w14:textId="77777777" w:rsidR="00FE1748" w:rsidRPr="00747095" w:rsidRDefault="00FE1748" w:rsidP="005E58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Stronger affordable ownership pipeline</w:t>
            </w:r>
          </w:p>
        </w:tc>
      </w:tr>
      <w:tr w:rsidR="00FE1748" w:rsidRPr="00434A22" w14:paraId="5223E021" w14:textId="77777777" w:rsidTr="005E5873">
        <w:trPr>
          <w:trHeight w:val="855"/>
        </w:trPr>
        <w:tc>
          <w:tcPr>
            <w:cnfStyle w:val="001000000000" w:firstRow="0" w:lastRow="0" w:firstColumn="1" w:lastColumn="0" w:oddVBand="0" w:evenVBand="0" w:oddHBand="0" w:evenHBand="0" w:firstRowFirstColumn="0" w:firstRowLastColumn="0" w:lastRowFirstColumn="0" w:lastRowLastColumn="0"/>
            <w:tcW w:w="0" w:type="auto"/>
            <w:hideMark/>
          </w:tcPr>
          <w:p w14:paraId="77DA657B"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Local inclusionary ownership requirements</w:t>
            </w:r>
          </w:p>
        </w:tc>
        <w:tc>
          <w:tcPr>
            <w:tcW w:w="0" w:type="auto"/>
            <w:hideMark/>
          </w:tcPr>
          <w:p w14:paraId="10740657" w14:textId="77777777" w:rsidR="00FE1748" w:rsidRPr="00747095" w:rsidRDefault="00FE1748" w:rsidP="005E58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Include homes for sale in local plans</w:t>
            </w:r>
          </w:p>
        </w:tc>
        <w:tc>
          <w:tcPr>
            <w:tcW w:w="0" w:type="auto"/>
            <w:hideMark/>
          </w:tcPr>
          <w:p w14:paraId="4E23E563" w14:textId="77777777" w:rsidR="00FE1748" w:rsidRPr="00747095" w:rsidRDefault="00FE1748" w:rsidP="005E58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More mixed-income ownership opportunities</w:t>
            </w:r>
          </w:p>
        </w:tc>
      </w:tr>
      <w:tr w:rsidR="00FE1748" w:rsidRPr="00434A22" w14:paraId="342A268F" w14:textId="77777777" w:rsidTr="005E5873">
        <w:trPr>
          <w:cnfStyle w:val="000000100000" w:firstRow="0" w:lastRow="0" w:firstColumn="0" w:lastColumn="0" w:oddVBand="0" w:evenVBand="0" w:oddHBand="1"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0" w:type="auto"/>
            <w:hideMark/>
          </w:tcPr>
          <w:p w14:paraId="455A31AC"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Shared</w:t>
            </w:r>
            <w:r>
              <w:rPr>
                <w:rFonts w:ascii="Times New Roman" w:hAnsi="Times New Roman" w:cs="Times New Roman"/>
              </w:rPr>
              <w:t xml:space="preserve"> </w:t>
            </w:r>
            <w:r w:rsidRPr="00434A22">
              <w:rPr>
                <w:rFonts w:ascii="Times New Roman" w:hAnsi="Times New Roman" w:cs="Times New Roman"/>
              </w:rPr>
              <w:t>equity models</w:t>
            </w:r>
          </w:p>
        </w:tc>
        <w:tc>
          <w:tcPr>
            <w:tcW w:w="0" w:type="auto"/>
            <w:hideMark/>
          </w:tcPr>
          <w:p w14:paraId="30306B9A" w14:textId="77777777" w:rsidR="00FE1748" w:rsidRPr="00747095" w:rsidRDefault="00FE1748" w:rsidP="005E58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Preserve long-term affordability</w:t>
            </w:r>
          </w:p>
        </w:tc>
        <w:tc>
          <w:tcPr>
            <w:tcW w:w="0" w:type="auto"/>
            <w:hideMark/>
          </w:tcPr>
          <w:p w14:paraId="4C9CBDCC" w14:textId="77777777" w:rsidR="00FE1748" w:rsidRPr="00747095" w:rsidRDefault="00FE1748" w:rsidP="005E58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Public subsidy benefits multiple buyers over time</w:t>
            </w:r>
          </w:p>
        </w:tc>
      </w:tr>
      <w:tr w:rsidR="00FE1748" w:rsidRPr="00434A22" w14:paraId="1AA2E1E0" w14:textId="77777777" w:rsidTr="005E5873">
        <w:trPr>
          <w:trHeight w:val="703"/>
        </w:trPr>
        <w:tc>
          <w:tcPr>
            <w:cnfStyle w:val="001000000000" w:firstRow="0" w:lastRow="0" w:firstColumn="1" w:lastColumn="0" w:oddVBand="0" w:evenVBand="0" w:oddHBand="0" w:evenHBand="0" w:firstRowFirstColumn="0" w:firstRowLastColumn="0" w:lastRowFirstColumn="0" w:lastRowLastColumn="0"/>
            <w:tcW w:w="0" w:type="auto"/>
            <w:hideMark/>
          </w:tcPr>
          <w:p w14:paraId="5016018F"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Targeted buyer support</w:t>
            </w:r>
          </w:p>
        </w:tc>
        <w:tc>
          <w:tcPr>
            <w:tcW w:w="0" w:type="auto"/>
            <w:hideMark/>
          </w:tcPr>
          <w:p w14:paraId="77469AF8" w14:textId="77777777" w:rsidR="00FE1748" w:rsidRPr="00747095" w:rsidRDefault="00FE1748" w:rsidP="005E58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Help income-qualified buyers close</w:t>
            </w:r>
          </w:p>
        </w:tc>
        <w:tc>
          <w:tcPr>
            <w:tcW w:w="0" w:type="auto"/>
            <w:hideMark/>
          </w:tcPr>
          <w:p w14:paraId="6AB41BFE" w14:textId="77777777" w:rsidR="00FE1748" w:rsidRPr="00747095" w:rsidRDefault="00FE1748" w:rsidP="005E58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Assistance supports production instead of scarce-market bidding</w:t>
            </w:r>
          </w:p>
        </w:tc>
      </w:tr>
    </w:tbl>
    <w:p w14:paraId="75C018DA" w14:textId="77777777" w:rsidR="00FE1748" w:rsidRPr="00434A22" w:rsidRDefault="00FE1748" w:rsidP="005E5873">
      <w:pPr>
        <w:rPr>
          <w:rFonts w:ascii="Times New Roman" w:hAnsi="Times New Roman" w:cs="Times New Roman"/>
        </w:rPr>
      </w:pPr>
      <w:r>
        <w:rPr>
          <w:rFonts w:ascii="Times New Roman" w:hAnsi="Times New Roman" w:cs="Times New Roman"/>
        </w:rPr>
        <w:pict w14:anchorId="379A168B">
          <v:rect id="_x0000_i1075" style="width:0;height:1.5pt" o:hralign="center" o:hrstd="t" o:hr="t" fillcolor="#a0a0a0" stroked="f"/>
        </w:pict>
      </w:r>
    </w:p>
    <w:p w14:paraId="6586522A" w14:textId="77777777" w:rsidR="00FE1748" w:rsidRDefault="00FE1748" w:rsidP="005E5873">
      <w:pPr>
        <w:spacing w:after="0"/>
        <w:rPr>
          <w:rFonts w:ascii="Times New Roman" w:eastAsia="Times New Roman" w:hAnsi="Times New Roman" w:cs="Times New Roman"/>
          <w:sz w:val="24"/>
          <w:szCs w:val="24"/>
        </w:rPr>
      </w:pPr>
    </w:p>
    <w:p w14:paraId="6D0AEF8B" w14:textId="77777777" w:rsidR="00FE1748" w:rsidRDefault="00FE1748" w:rsidP="005E5873">
      <w:pPr>
        <w:spacing w:after="0"/>
        <w:rPr>
          <w:rFonts w:ascii="Times New Roman" w:eastAsia="Times New Roman" w:hAnsi="Times New Roman" w:cs="Times New Roman"/>
          <w:sz w:val="24"/>
          <w:szCs w:val="24"/>
        </w:rPr>
      </w:pPr>
      <w:r w:rsidRPr="0042386F">
        <w:rPr>
          <w:rFonts w:ascii="Times New Roman" w:eastAsia="Times New Roman" w:hAnsi="Times New Roman" w:cs="Times New Roman"/>
          <w:sz w:val="24"/>
          <w:szCs w:val="24"/>
        </w:rPr>
        <w:t>New Jersey should move from helping a limited number of buyers compete for expensive existing homes to producing more affordable homes that expand ownership, build wealth, and stabilize communities.</w:t>
      </w:r>
    </w:p>
    <w:p w14:paraId="5794A2FA" w14:textId="77777777" w:rsidR="00FE1748" w:rsidRPr="0042386F" w:rsidRDefault="00FE1748" w:rsidP="005E5873">
      <w:pPr>
        <w:spacing w:after="0"/>
        <w:rPr>
          <w:rFonts w:ascii="Times New Roman" w:eastAsia="Times New Roman" w:hAnsi="Times New Roman" w:cs="Times New Roman"/>
          <w:sz w:val="24"/>
          <w:szCs w:val="24"/>
        </w:rPr>
      </w:pPr>
    </w:p>
    <w:p w14:paraId="7C3D37D8" w14:textId="77777777" w:rsidR="00FE1748" w:rsidRDefault="00FE1748" w:rsidP="005E5873">
      <w:pPr>
        <w:spacing w:after="0"/>
        <w:rPr>
          <w:rFonts w:ascii="Times New Roman" w:eastAsia="Times New Roman" w:hAnsi="Times New Roman" w:cs="Times New Roman"/>
          <w:sz w:val="24"/>
          <w:szCs w:val="24"/>
        </w:rPr>
      </w:pPr>
      <w:r w:rsidRPr="0042386F">
        <w:rPr>
          <w:rFonts w:ascii="Times New Roman" w:eastAsia="Times New Roman" w:hAnsi="Times New Roman" w:cs="Times New Roman"/>
          <w:sz w:val="24"/>
          <w:szCs w:val="24"/>
        </w:rPr>
        <w:t>Our first key finding shows that down payment assistance yields an approximate monthly payment impact of only $96.89 in the county examples reviewed. This monthly change is evidently insufficient to overcome affordability gaps exceeding $100,000 in counties such as Hudson, Essex, Passaic, and Bergen.</w:t>
      </w:r>
    </w:p>
    <w:p w14:paraId="5394504E" w14:textId="77777777" w:rsidR="00FE1748" w:rsidRDefault="00FE1748" w:rsidP="005E5873">
      <w:pPr>
        <w:spacing w:after="0"/>
        <w:rPr>
          <w:rFonts w:ascii="Times New Roman" w:eastAsia="Times New Roman" w:hAnsi="Times New Roman" w:cs="Times New Roman"/>
          <w:sz w:val="24"/>
          <w:szCs w:val="24"/>
        </w:rPr>
      </w:pPr>
    </w:p>
    <w:p w14:paraId="7BD99D78" w14:textId="77777777" w:rsidR="00FE1748" w:rsidRPr="00434A22" w:rsidRDefault="00FE1748" w:rsidP="005E5873">
      <w:pPr>
        <w:spacing w:after="0"/>
        <w:rPr>
          <w:rFonts w:ascii="Times New Roman" w:hAnsi="Times New Roman" w:cs="Times New Roman"/>
        </w:rPr>
      </w:pPr>
      <w:r>
        <w:rPr>
          <w:rFonts w:ascii="Times New Roman" w:hAnsi="Times New Roman" w:cs="Times New Roman"/>
        </w:rPr>
        <w:pict w14:anchorId="2D5FB0C2">
          <v:rect id="_x0000_i1076" style="width:0;height:1.5pt" o:hralign="center" o:hrstd="t" o:hr="t" fillcolor="#a0a0a0" stroked="f"/>
        </w:pict>
      </w:r>
    </w:p>
    <w:p w14:paraId="667AFC54" w14:textId="77777777" w:rsidR="00FE1748" w:rsidRPr="00434A22" w:rsidRDefault="00FE1748" w:rsidP="005E5873">
      <w:pPr>
        <w:rPr>
          <w:rFonts w:ascii="Times New Roman" w:eastAsiaTheme="majorEastAsia" w:hAnsi="Times New Roman" w:cs="Times New Roman"/>
          <w:color w:val="B76E0B" w:themeColor="accent1" w:themeShade="BF"/>
          <w:sz w:val="36"/>
          <w:szCs w:val="36"/>
        </w:rPr>
      </w:pPr>
      <w:r w:rsidRPr="00434A22">
        <w:rPr>
          <w:rFonts w:ascii="Times New Roman" w:hAnsi="Times New Roman" w:cs="Times New Roman"/>
        </w:rPr>
        <w:br w:type="page"/>
      </w:r>
    </w:p>
    <w:p w14:paraId="172F068C" w14:textId="77777777" w:rsidR="00FE1748" w:rsidRPr="001C2A6B" w:rsidRDefault="00FE1748" w:rsidP="005E5873">
      <w:pPr>
        <w:pStyle w:val="Heading1"/>
        <w:rPr>
          <w:rFonts w:ascii="Times New Roman" w:hAnsi="Times New Roman" w:cs="Times New Roman"/>
          <w:color w:val="000000" w:themeColor="text1"/>
        </w:rPr>
      </w:pPr>
      <w:r w:rsidRPr="001C2A6B">
        <w:rPr>
          <w:rFonts w:ascii="Segoe UI Emoji" w:hAnsi="Segoe UI Emoji" w:cs="Segoe UI Emoji"/>
          <w:color w:val="000000" w:themeColor="text1"/>
        </w:rPr>
        <w:lastRenderedPageBreak/>
        <w:t>🟧</w:t>
      </w:r>
      <w:r w:rsidRPr="001C2A6B">
        <w:rPr>
          <w:rFonts w:ascii="Times New Roman" w:hAnsi="Times New Roman" w:cs="Times New Roman"/>
          <w:color w:val="000000" w:themeColor="text1"/>
        </w:rPr>
        <w:t xml:space="preserve"> Conclusion</w:t>
      </w:r>
    </w:p>
    <w:p w14:paraId="021AEF25" w14:textId="77777777" w:rsidR="00FE1748" w:rsidRPr="00434A22" w:rsidRDefault="00FE1748" w:rsidP="005E5873">
      <w:pPr>
        <w:pStyle w:val="origin-typography"/>
      </w:pPr>
      <w:r w:rsidRPr="00434A22">
        <w:t>New Jersey’s housing affordability challenge requires more than down payment assistance.</w:t>
      </w:r>
    </w:p>
    <w:p w14:paraId="5E552074" w14:textId="77777777" w:rsidR="00FE1748" w:rsidRPr="00434A22" w:rsidRDefault="00FE1748" w:rsidP="005E5873">
      <w:pPr>
        <w:pStyle w:val="origin-typography"/>
      </w:pPr>
      <w:r w:rsidRPr="00434A22">
        <w:t>The data show that home prices have risen sharply, income gaps are severe, and the current assistance produces only a limited monthly benefit. In several counties, the income needed to buy a median-priced home exceeds local median household income by more than $100,000. At the same time, down payment assistance does not create new homes, increase supply, reduce prices, or build affordability on a scale.</w:t>
      </w:r>
    </w:p>
    <w:p w14:paraId="02CADCF6" w14:textId="77777777" w:rsidR="00FE1748" w:rsidRPr="00434A22" w:rsidRDefault="00FE1748" w:rsidP="005E5873">
      <w:pPr>
        <w:pStyle w:val="origin-typography"/>
      </w:pPr>
      <w:r w:rsidRPr="00434A22">
        <w:t xml:space="preserve">The stronger policy response is to shift more state housing funding toward </w:t>
      </w:r>
      <w:r>
        <w:t>producing affordable homes for ownership</w:t>
      </w:r>
      <w:r w:rsidRPr="00434A22">
        <w:t>.</w:t>
      </w:r>
    </w:p>
    <w:p w14:paraId="3B8B732E" w14:textId="77777777" w:rsidR="00FE1748" w:rsidRPr="00434A22" w:rsidRDefault="00FE1748" w:rsidP="005E5873">
      <w:pPr>
        <w:pStyle w:val="origin-typography"/>
      </w:pPr>
      <w:r w:rsidRPr="00434A22">
        <w:t>By investing in homes for sale, using vacant and underused land, supporting nonprofit development, strengthening Mount Laurel implementation, and targeting households below 80% AMI, New Jersey can expand ownership, support working families, stabilize communities, and help close long-term wealth gaps.</w:t>
      </w:r>
    </w:p>
    <w:p w14:paraId="6FCE6CD3" w14:textId="77777777" w:rsidR="00FE1748" w:rsidRDefault="00FE1748" w:rsidP="005E5873">
      <w:pPr>
        <w:pStyle w:val="origin-typography"/>
      </w:pPr>
      <w:r w:rsidRPr="00434A22">
        <w:t>The policy choice is clear: New Jersey can continue helping a limited number of buyers compete in an unaffordable market, or it can build the affordable ownership opportunities that families and communities need.</w:t>
      </w:r>
    </w:p>
    <w:p w14:paraId="5D31C593" w14:textId="77777777" w:rsidR="00FE1748" w:rsidRDefault="00FE1748" w:rsidP="005E5873">
      <w:pPr>
        <w:pStyle w:val="origin-typography"/>
      </w:pPr>
    </w:p>
    <w:p w14:paraId="59757A08" w14:textId="77777777" w:rsidR="00FE1748" w:rsidRPr="00227742" w:rsidRDefault="00FE1748" w:rsidP="005E5873">
      <w:pPr>
        <w:rPr>
          <w:rFonts w:ascii="Times New Roman" w:eastAsia="Times New Roman" w:hAnsi="Times New Roman" w:cs="Times New Roman"/>
          <w:sz w:val="24"/>
          <w:szCs w:val="24"/>
        </w:rPr>
      </w:pPr>
    </w:p>
    <w:p w14:paraId="40723919" w14:textId="77777777" w:rsidR="00FE1748" w:rsidRPr="001C2A6B" w:rsidRDefault="00FE1748" w:rsidP="00FE1748">
      <w:pPr>
        <w:pStyle w:val="Heading1"/>
        <w:rPr>
          <w:rFonts w:ascii="Times New Roman" w:hAnsi="Times New Roman" w:cs="Times New Roman"/>
          <w:b w:val="0"/>
          <w:bCs/>
          <w:color w:val="000000" w:themeColor="text1"/>
        </w:rPr>
      </w:pPr>
      <w:r w:rsidRPr="001C2A6B">
        <w:rPr>
          <w:rFonts w:ascii="Segoe UI Emoji" w:hAnsi="Segoe UI Emoji" w:cs="Segoe UI Emoji"/>
          <w:bCs/>
          <w:color w:val="000000" w:themeColor="text1"/>
        </w:rPr>
        <w:t>🟧</w:t>
      </w:r>
      <w:r w:rsidRPr="001C2A6B">
        <w:rPr>
          <w:rFonts w:ascii="Times New Roman" w:hAnsi="Times New Roman" w:cs="Times New Roman"/>
          <w:bCs/>
          <w:color w:val="000000" w:themeColor="text1"/>
        </w:rPr>
        <w:t xml:space="preserve"> Key Findings</w:t>
      </w:r>
      <w:bookmarkEnd w:id="0"/>
      <w:bookmarkEnd w:id="1"/>
      <w:bookmarkEnd w:id="2"/>
    </w:p>
    <w:p w14:paraId="7905539D" w14:textId="77777777" w:rsidR="00FE1748" w:rsidRPr="00434A22" w:rsidRDefault="00FE1748" w:rsidP="00FE1748">
      <w:pPr>
        <w:rPr>
          <w:rFonts w:ascii="Times New Roman" w:hAnsi="Times New Roman" w:cs="Times New Roman"/>
        </w:rPr>
      </w:pPr>
    </w:p>
    <w:p w14:paraId="5C659E93" w14:textId="77777777" w:rsidR="00FE1748" w:rsidRPr="00E354AD" w:rsidRDefault="00FE1748" w:rsidP="00FE1748">
      <w:pPr>
        <w:pStyle w:val="Heading2"/>
        <w:rPr>
          <w:rFonts w:ascii="Times New Roman" w:eastAsia="Times New Roman" w:hAnsi="Times New Roman" w:cs="Times New Roman"/>
          <w:b w:val="0"/>
          <w:bCs/>
          <w:color w:val="auto"/>
          <w:szCs w:val="24"/>
        </w:rPr>
      </w:pPr>
      <w:bookmarkStart w:id="10" w:name="_Toc240920504"/>
      <w:bookmarkStart w:id="11" w:name="_Toc240920753"/>
      <w:bookmarkStart w:id="12" w:name="_Toc240921619"/>
      <w:r w:rsidRPr="00E354AD">
        <w:rPr>
          <w:rFonts w:ascii="Segoe UI Emoji" w:hAnsi="Segoe UI Emoji" w:cstheme="minorBidi"/>
          <w:bCs/>
          <w:color w:val="auto"/>
        </w:rPr>
        <w:t>🟧</w:t>
      </w:r>
      <w:r w:rsidRPr="00E354AD">
        <w:rPr>
          <w:rFonts w:ascii="Times New Roman" w:hAnsi="Times New Roman"/>
          <w:bCs/>
          <w:color w:val="auto"/>
        </w:rPr>
        <w:t xml:space="preserve"> Finding 1: Down Payment Assistance Has Little Effect on Monthly Affordability</w:t>
      </w:r>
      <w:bookmarkEnd w:id="10"/>
      <w:bookmarkEnd w:id="11"/>
      <w:bookmarkEnd w:id="12"/>
    </w:p>
    <w:p w14:paraId="41816703" w14:textId="77777777" w:rsidR="00FE1748" w:rsidRPr="00434A22" w:rsidRDefault="00FE1748" w:rsidP="00FE1748">
      <w:pPr>
        <w:pStyle w:val="origin-typography"/>
      </w:pPr>
      <w:r w:rsidRPr="00434A22">
        <w:t xml:space="preserve">The monthly payment impact is nearly the same across the </w:t>
      </w:r>
      <w:proofErr w:type="gramStart"/>
      <w:r w:rsidRPr="00434A22">
        <w:t>county</w:t>
      </w:r>
      <w:proofErr w:type="gramEnd"/>
      <w:r w:rsidRPr="00434A22">
        <w:t xml:space="preserve"> examples reviewed: approximately $96.89.</w:t>
      </w:r>
    </w:p>
    <w:p w14:paraId="1C59B05D" w14:textId="77777777" w:rsidR="00FE1748" w:rsidRPr="00434A22" w:rsidRDefault="00FE1748" w:rsidP="00FE1748">
      <w:pPr>
        <w:pStyle w:val="Heading3"/>
        <w:rPr>
          <w:rFonts w:ascii="Times New Roman" w:hAnsi="Times New Roman" w:cs="Times New Roman"/>
          <w:b/>
          <w:bCs/>
        </w:rPr>
      </w:pPr>
      <w:bookmarkStart w:id="13" w:name="_Toc240920505"/>
      <w:r w:rsidRPr="00AE1AA2">
        <w:rPr>
          <w:rFonts w:ascii="Segoe UI Emoji" w:hAnsi="Segoe UI Emoji" w:cs="Segoe UI Emoji"/>
        </w:rPr>
        <w:t>🟧</w:t>
      </w:r>
      <w:r w:rsidRPr="00434A22">
        <w:rPr>
          <w:rFonts w:ascii="Times New Roman" w:hAnsi="Times New Roman" w:cs="Times New Roman"/>
          <w:b/>
          <w:bCs/>
        </w:rPr>
        <w:t xml:space="preserve"> </w:t>
      </w:r>
      <w:r w:rsidRPr="00F14637">
        <w:rPr>
          <w:rFonts w:ascii="Times New Roman" w:hAnsi="Times New Roman" w:cs="Times New Roman"/>
        </w:rPr>
        <w:t>Exhibit 1. Example Monthly Payment Impact</w:t>
      </w:r>
      <w:r w:rsidRPr="00814C5F">
        <w:rPr>
          <w:rStyle w:val="FootnoteReference"/>
          <w:rFonts w:ascii="Times New Roman" w:hAnsi="Times New Roman" w:cs="Times New Roman"/>
        </w:rPr>
        <w:footnoteReference w:id="11"/>
      </w:r>
      <w:bookmarkEnd w:id="13"/>
    </w:p>
    <w:p w14:paraId="37CFA432" w14:textId="77777777" w:rsidR="00FE1748" w:rsidRPr="00434A22" w:rsidRDefault="00FE1748" w:rsidP="00FE1748">
      <w:pPr>
        <w:rPr>
          <w:rFonts w:ascii="Times New Roman" w:hAnsi="Times New Roman" w:cs="Times New Roman"/>
        </w:rPr>
      </w:pPr>
    </w:p>
    <w:tbl>
      <w:tblPr>
        <w:tblStyle w:val="ListTable7Colorful-Accent1"/>
        <w:tblW w:w="0" w:type="auto"/>
        <w:tblLook w:val="04A0" w:firstRow="1" w:lastRow="0" w:firstColumn="1" w:lastColumn="0" w:noHBand="0" w:noVBand="1"/>
      </w:tblPr>
      <w:tblGrid>
        <w:gridCol w:w="1316"/>
        <w:gridCol w:w="3160"/>
        <w:gridCol w:w="3036"/>
        <w:gridCol w:w="1848"/>
      </w:tblGrid>
      <w:tr w:rsidR="00FE1748" w:rsidRPr="00434A22" w14:paraId="7D834EA0" w14:textId="77777777" w:rsidTr="005E587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3DAE5C9"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lastRenderedPageBreak/>
              <w:t>County</w:t>
            </w:r>
          </w:p>
        </w:tc>
        <w:tc>
          <w:tcPr>
            <w:tcW w:w="0" w:type="auto"/>
            <w:hideMark/>
          </w:tcPr>
          <w:p w14:paraId="6FAE1EC4"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Monthly Payment Before Assistance</w:t>
            </w:r>
          </w:p>
        </w:tc>
        <w:tc>
          <w:tcPr>
            <w:tcW w:w="0" w:type="auto"/>
            <w:hideMark/>
          </w:tcPr>
          <w:p w14:paraId="05DF41BD"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Monthly Payment After Assistance</w:t>
            </w:r>
          </w:p>
        </w:tc>
        <w:tc>
          <w:tcPr>
            <w:tcW w:w="0" w:type="auto"/>
            <w:hideMark/>
          </w:tcPr>
          <w:p w14:paraId="60E99EF0"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Monthly Reduction</w:t>
            </w:r>
          </w:p>
        </w:tc>
      </w:tr>
      <w:tr w:rsidR="00FE1748" w:rsidRPr="00434A22" w14:paraId="3321AE38"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6C507A"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Bergen</w:t>
            </w:r>
          </w:p>
        </w:tc>
        <w:tc>
          <w:tcPr>
            <w:tcW w:w="0" w:type="auto"/>
            <w:hideMark/>
          </w:tcPr>
          <w:p w14:paraId="23583801"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$5,621.56</w:t>
            </w:r>
          </w:p>
        </w:tc>
        <w:tc>
          <w:tcPr>
            <w:tcW w:w="0" w:type="auto"/>
            <w:hideMark/>
          </w:tcPr>
          <w:p w14:paraId="0A69567C"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$5,529.75</w:t>
            </w:r>
          </w:p>
        </w:tc>
        <w:tc>
          <w:tcPr>
            <w:tcW w:w="0" w:type="auto"/>
            <w:hideMark/>
          </w:tcPr>
          <w:p w14:paraId="0627778A"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$96.89</w:t>
            </w:r>
          </w:p>
        </w:tc>
      </w:tr>
      <w:tr w:rsidR="00FE1748" w:rsidRPr="00434A22" w14:paraId="6666CC4F"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2E255FF4"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Hudson</w:t>
            </w:r>
          </w:p>
        </w:tc>
        <w:tc>
          <w:tcPr>
            <w:tcW w:w="0" w:type="auto"/>
            <w:hideMark/>
          </w:tcPr>
          <w:p w14:paraId="6ADEE3A9"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$5,079.09</w:t>
            </w:r>
          </w:p>
        </w:tc>
        <w:tc>
          <w:tcPr>
            <w:tcW w:w="0" w:type="auto"/>
            <w:hideMark/>
          </w:tcPr>
          <w:p w14:paraId="03D0CA4D"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$4,982.20</w:t>
            </w:r>
          </w:p>
        </w:tc>
        <w:tc>
          <w:tcPr>
            <w:tcW w:w="0" w:type="auto"/>
            <w:hideMark/>
          </w:tcPr>
          <w:p w14:paraId="7BEDA1D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$96.89</w:t>
            </w:r>
          </w:p>
        </w:tc>
      </w:tr>
      <w:tr w:rsidR="00FE1748" w:rsidRPr="00434A22" w14:paraId="422DBE28"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B8E1D2"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Monmouth</w:t>
            </w:r>
          </w:p>
        </w:tc>
        <w:tc>
          <w:tcPr>
            <w:tcW w:w="0" w:type="auto"/>
            <w:hideMark/>
          </w:tcPr>
          <w:p w14:paraId="1FBBF714"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$5,282.71</w:t>
            </w:r>
          </w:p>
        </w:tc>
        <w:tc>
          <w:tcPr>
            <w:tcW w:w="0" w:type="auto"/>
            <w:hideMark/>
          </w:tcPr>
          <w:p w14:paraId="0902802D"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$5,185.82</w:t>
            </w:r>
          </w:p>
        </w:tc>
        <w:tc>
          <w:tcPr>
            <w:tcW w:w="0" w:type="auto"/>
            <w:hideMark/>
          </w:tcPr>
          <w:p w14:paraId="3FFC03E2"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$96.89</w:t>
            </w:r>
          </w:p>
        </w:tc>
      </w:tr>
      <w:tr w:rsidR="00FE1748" w:rsidRPr="00434A22" w14:paraId="335764F8"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6FE4E230"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Morris</w:t>
            </w:r>
          </w:p>
        </w:tc>
        <w:tc>
          <w:tcPr>
            <w:tcW w:w="0" w:type="auto"/>
            <w:hideMark/>
          </w:tcPr>
          <w:p w14:paraId="3AC64D97"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$5,180.34</w:t>
            </w:r>
          </w:p>
        </w:tc>
        <w:tc>
          <w:tcPr>
            <w:tcW w:w="0" w:type="auto"/>
            <w:hideMark/>
          </w:tcPr>
          <w:p w14:paraId="649B60F6"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$5,083.45</w:t>
            </w:r>
          </w:p>
        </w:tc>
        <w:tc>
          <w:tcPr>
            <w:tcW w:w="0" w:type="auto"/>
            <w:hideMark/>
          </w:tcPr>
          <w:p w14:paraId="37E3A5AB"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$96.89</w:t>
            </w:r>
          </w:p>
        </w:tc>
      </w:tr>
      <w:tr w:rsidR="00FE1748" w:rsidRPr="00434A22" w14:paraId="2115BA3C"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C93B63"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Salem</w:t>
            </w:r>
          </w:p>
        </w:tc>
        <w:tc>
          <w:tcPr>
            <w:tcW w:w="0" w:type="auto"/>
            <w:hideMark/>
          </w:tcPr>
          <w:p w14:paraId="54F80EC5"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$2,362.42</w:t>
            </w:r>
          </w:p>
        </w:tc>
        <w:tc>
          <w:tcPr>
            <w:tcW w:w="0" w:type="auto"/>
            <w:hideMark/>
          </w:tcPr>
          <w:p w14:paraId="4B5B722F"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$2,265.53</w:t>
            </w:r>
          </w:p>
        </w:tc>
        <w:tc>
          <w:tcPr>
            <w:tcW w:w="0" w:type="auto"/>
            <w:hideMark/>
          </w:tcPr>
          <w:p w14:paraId="0E384E04"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$96.89</w:t>
            </w:r>
          </w:p>
        </w:tc>
      </w:tr>
      <w:tr w:rsidR="00FE1748" w:rsidRPr="00434A22" w14:paraId="020CBB1E"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59964DE9"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Cumberland</w:t>
            </w:r>
          </w:p>
        </w:tc>
        <w:tc>
          <w:tcPr>
            <w:tcW w:w="0" w:type="auto"/>
            <w:hideMark/>
          </w:tcPr>
          <w:p w14:paraId="7637D3BC"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$2,121.05</w:t>
            </w:r>
          </w:p>
        </w:tc>
        <w:tc>
          <w:tcPr>
            <w:tcW w:w="0" w:type="auto"/>
            <w:hideMark/>
          </w:tcPr>
          <w:p w14:paraId="56C2C94F"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$2,024.16</w:t>
            </w:r>
          </w:p>
        </w:tc>
        <w:tc>
          <w:tcPr>
            <w:tcW w:w="0" w:type="auto"/>
            <w:hideMark/>
          </w:tcPr>
          <w:p w14:paraId="09B1B8D7"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$96.89</w:t>
            </w:r>
          </w:p>
        </w:tc>
      </w:tr>
    </w:tbl>
    <w:p w14:paraId="3D732B6A" w14:textId="77777777" w:rsidR="00FE1748" w:rsidRPr="00434A22" w:rsidRDefault="00FE1748" w:rsidP="00FE1748">
      <w:pPr>
        <w:rPr>
          <w:rFonts w:ascii="Times New Roman" w:hAnsi="Times New Roman" w:cs="Times New Roman"/>
        </w:rPr>
      </w:pPr>
    </w:p>
    <w:p w14:paraId="06556039" w14:textId="77777777" w:rsidR="00FE1748" w:rsidRPr="00D174CA" w:rsidRDefault="00FE1748" w:rsidP="00FE1748">
      <w:pPr>
        <w:pStyle w:val="Heading3"/>
        <w:rPr>
          <w:rFonts w:ascii="Times New Roman" w:hAnsi="Times New Roman" w:cs="Times New Roman"/>
          <w:b/>
          <w:bCs/>
        </w:rPr>
      </w:pPr>
      <w:bookmarkStart w:id="14" w:name="_Toc240920506"/>
      <w:r w:rsidRPr="00D174CA">
        <w:rPr>
          <w:rFonts w:ascii="Times New Roman" w:hAnsi="Times New Roman" w:cs="Times New Roman"/>
          <w:b/>
          <w:bCs/>
        </w:rPr>
        <w:t>Why This Matters</w:t>
      </w:r>
      <w:bookmarkEnd w:id="14"/>
    </w:p>
    <w:p w14:paraId="1459259B" w14:textId="77777777" w:rsidR="00FE1748" w:rsidRPr="00434A22" w:rsidRDefault="00FE1748" w:rsidP="00FE1748">
      <w:pPr>
        <w:pStyle w:val="origin-typography"/>
      </w:pPr>
      <w:r w:rsidRPr="00434A22">
        <w:t>A monthly reduction of about $97 does not change the structure of New Jersey’s affordability problem. It may help a buyer at the margin, but it does not overcome high home prices, property taxes, insurance costs, interest rates, and limited housing supply.</w:t>
      </w:r>
    </w:p>
    <w:p w14:paraId="3B0455F2" w14:textId="77777777" w:rsidR="00FE1748" w:rsidRPr="00434A22" w:rsidRDefault="00FE1748" w:rsidP="00FE1748">
      <w:pPr>
        <w:rPr>
          <w:rFonts w:ascii="Times New Roman" w:hAnsi="Times New Roman" w:cs="Times New Roman"/>
        </w:rPr>
      </w:pPr>
      <w:r>
        <w:rPr>
          <w:rFonts w:ascii="Times New Roman" w:hAnsi="Times New Roman" w:cs="Times New Roman"/>
        </w:rPr>
        <w:pict w14:anchorId="598B625B">
          <v:rect id="_x0000_i1050" style="width:0;height:1.5pt" o:hralign="center" o:hrstd="t" o:hr="t" fillcolor="#a0a0a0" stroked="f"/>
        </w:pict>
      </w:r>
    </w:p>
    <w:p w14:paraId="3061E5F4" w14:textId="77777777" w:rsidR="00FE1748" w:rsidRPr="00434A22" w:rsidRDefault="00FE1748" w:rsidP="00FE1748">
      <w:pPr>
        <w:rPr>
          <w:rFonts w:ascii="Times New Roman" w:eastAsiaTheme="majorEastAsia" w:hAnsi="Times New Roman" w:cs="Times New Roman"/>
          <w:color w:val="B76E0B" w:themeColor="accent1" w:themeShade="BF"/>
          <w:sz w:val="28"/>
          <w:szCs w:val="28"/>
        </w:rPr>
      </w:pPr>
      <w:r w:rsidRPr="00434A22">
        <w:rPr>
          <w:rFonts w:ascii="Times New Roman" w:hAnsi="Times New Roman" w:cs="Times New Roman"/>
        </w:rPr>
        <w:br w:type="page"/>
      </w:r>
    </w:p>
    <w:p w14:paraId="36BF8E98" w14:textId="77777777" w:rsidR="00FE1748" w:rsidRPr="00E354AD" w:rsidRDefault="00FE1748" w:rsidP="00FE1748">
      <w:pPr>
        <w:pStyle w:val="Heading2"/>
        <w:rPr>
          <w:rFonts w:ascii="Times New Roman" w:hAnsi="Times New Roman" w:cs="Times New Roman"/>
          <w:b w:val="0"/>
          <w:bCs/>
          <w:color w:val="auto"/>
        </w:rPr>
      </w:pPr>
      <w:bookmarkStart w:id="15" w:name="_Toc240920507"/>
      <w:bookmarkStart w:id="16" w:name="_Toc240920754"/>
      <w:bookmarkStart w:id="17" w:name="_Toc240921620"/>
      <w:r w:rsidRPr="00E354AD">
        <w:rPr>
          <w:rFonts w:ascii="Segoe UI Emoji" w:hAnsi="Segoe UI Emoji" w:cs="Segoe UI Emoji"/>
          <w:bCs/>
          <w:color w:val="auto"/>
        </w:rPr>
        <w:lastRenderedPageBreak/>
        <w:t>🟧</w:t>
      </w:r>
      <w:r w:rsidRPr="00E354AD">
        <w:rPr>
          <w:rFonts w:ascii="Times New Roman" w:hAnsi="Times New Roman" w:cs="Times New Roman"/>
          <w:bCs/>
          <w:color w:val="auto"/>
        </w:rPr>
        <w:t xml:space="preserve"> Finding 2: Required Income Exceeds Local Median Income in Many Counties</w:t>
      </w:r>
      <w:bookmarkEnd w:id="15"/>
      <w:bookmarkEnd w:id="16"/>
      <w:bookmarkEnd w:id="17"/>
    </w:p>
    <w:p w14:paraId="6DCE2599" w14:textId="77777777" w:rsidR="00FE1748" w:rsidRPr="00434A22" w:rsidRDefault="00FE1748" w:rsidP="00FE1748">
      <w:pPr>
        <w:pStyle w:val="origin-typography"/>
      </w:pPr>
      <w:r w:rsidRPr="00434A22">
        <w:t>The income needed to afford a median-priced home is far above the median household income in many counties.</w:t>
      </w:r>
    </w:p>
    <w:p w14:paraId="18854A42" w14:textId="77777777" w:rsidR="00FE1748" w:rsidRPr="00434A22" w:rsidRDefault="00FE1748" w:rsidP="00FE1748">
      <w:pPr>
        <w:pStyle w:val="Heading3"/>
        <w:rPr>
          <w:rFonts w:ascii="Times New Roman" w:hAnsi="Times New Roman" w:cs="Times New Roman"/>
          <w:b/>
          <w:bCs/>
        </w:rPr>
      </w:pPr>
      <w:bookmarkStart w:id="18" w:name="_Toc240920508"/>
      <w:r w:rsidRPr="00AE1AA2">
        <w:rPr>
          <w:rFonts w:ascii="Segoe UI Emoji" w:hAnsi="Segoe UI Emoji" w:cs="Segoe UI Emoji"/>
        </w:rPr>
        <w:t>🟧</w:t>
      </w:r>
      <w:r w:rsidRPr="00434A22">
        <w:rPr>
          <w:rFonts w:ascii="Times New Roman" w:hAnsi="Times New Roman" w:cs="Times New Roman"/>
          <w:b/>
          <w:bCs/>
        </w:rPr>
        <w:t xml:space="preserve"> </w:t>
      </w:r>
      <w:r w:rsidRPr="00F14637">
        <w:rPr>
          <w:rFonts w:ascii="Times New Roman" w:hAnsi="Times New Roman" w:cs="Times New Roman"/>
        </w:rPr>
        <w:t>Exhibit 2. Income Needed Compared with Median Household Income</w:t>
      </w:r>
      <w:r>
        <w:rPr>
          <w:rStyle w:val="FootnoteReference"/>
          <w:rFonts w:ascii="Times New Roman" w:hAnsi="Times New Roman" w:cs="Times New Roman"/>
        </w:rPr>
        <w:footnoteReference w:id="12"/>
      </w:r>
      <w:bookmarkEnd w:id="18"/>
    </w:p>
    <w:p w14:paraId="4C7E7A33" w14:textId="77777777" w:rsidR="00FE1748" w:rsidRPr="00434A22" w:rsidRDefault="00FE1748" w:rsidP="00FE1748">
      <w:pPr>
        <w:rPr>
          <w:rFonts w:ascii="Times New Roman" w:hAnsi="Times New Roman" w:cs="Times New Roman"/>
        </w:rPr>
      </w:pPr>
    </w:p>
    <w:tbl>
      <w:tblPr>
        <w:tblStyle w:val="ListTable7Colorful-Accent1"/>
        <w:tblW w:w="0" w:type="auto"/>
        <w:tblLook w:val="04A0" w:firstRow="1" w:lastRow="0" w:firstColumn="1" w:lastColumn="0" w:noHBand="0" w:noVBand="1"/>
      </w:tblPr>
      <w:tblGrid>
        <w:gridCol w:w="1316"/>
        <w:gridCol w:w="2595"/>
        <w:gridCol w:w="3668"/>
        <w:gridCol w:w="1781"/>
      </w:tblGrid>
      <w:tr w:rsidR="00FE1748" w:rsidRPr="00434A22" w14:paraId="647FF233" w14:textId="77777777" w:rsidTr="005E587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B22E785" w14:textId="77777777" w:rsidR="00FE1748" w:rsidRPr="00434A22" w:rsidRDefault="00FE1748" w:rsidP="005E5873">
            <w:pPr>
              <w:jc w:val="left"/>
              <w:rPr>
                <w:rFonts w:ascii="Times New Roman" w:hAnsi="Times New Roman" w:cs="Times New Roman"/>
                <w:b/>
                <w:bCs/>
              </w:rPr>
            </w:pPr>
            <w:r w:rsidRPr="00434A22">
              <w:rPr>
                <w:rFonts w:ascii="Times New Roman" w:hAnsi="Times New Roman" w:cs="Times New Roman"/>
                <w:b/>
                <w:bCs/>
              </w:rPr>
              <w:t>County</w:t>
            </w:r>
          </w:p>
        </w:tc>
        <w:tc>
          <w:tcPr>
            <w:tcW w:w="0" w:type="auto"/>
            <w:hideMark/>
          </w:tcPr>
          <w:p w14:paraId="7518AFDB"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Median Household Income</w:t>
            </w:r>
          </w:p>
        </w:tc>
        <w:tc>
          <w:tcPr>
            <w:tcW w:w="0" w:type="auto"/>
            <w:hideMark/>
          </w:tcPr>
          <w:p w14:paraId="4F1F5CE5"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Income Needed to Afford Median Home</w:t>
            </w:r>
          </w:p>
        </w:tc>
        <w:tc>
          <w:tcPr>
            <w:tcW w:w="0" w:type="auto"/>
            <w:hideMark/>
          </w:tcPr>
          <w:p w14:paraId="013B8C3F"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Affordability Gap</w:t>
            </w:r>
          </w:p>
        </w:tc>
      </w:tr>
      <w:tr w:rsidR="00FE1748" w:rsidRPr="00434A22" w14:paraId="497320CF"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7B79E7"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Hudson</w:t>
            </w:r>
          </w:p>
        </w:tc>
        <w:tc>
          <w:tcPr>
            <w:tcW w:w="0" w:type="auto"/>
            <w:hideMark/>
          </w:tcPr>
          <w:p w14:paraId="6B005D05"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90,032</w:t>
            </w:r>
          </w:p>
        </w:tc>
        <w:tc>
          <w:tcPr>
            <w:tcW w:w="0" w:type="auto"/>
            <w:hideMark/>
          </w:tcPr>
          <w:p w14:paraId="07FD7B50"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$203,164</w:t>
            </w:r>
          </w:p>
        </w:tc>
        <w:tc>
          <w:tcPr>
            <w:tcW w:w="0" w:type="auto"/>
            <w:hideMark/>
          </w:tcPr>
          <w:p w14:paraId="22704E28"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w:t>
            </w:r>
            <w:r>
              <w:rPr>
                <w:rFonts w:ascii="Times New Roman" w:hAnsi="Times New Roman" w:cs="Times New Roman"/>
                <w:szCs w:val="22"/>
              </w:rPr>
              <w:t>13,132</w:t>
            </w:r>
          </w:p>
        </w:tc>
      </w:tr>
      <w:tr w:rsidR="00FE1748" w:rsidRPr="00434A22" w14:paraId="665058E3"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60BE7B97"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Essex</w:t>
            </w:r>
          </w:p>
        </w:tc>
        <w:tc>
          <w:tcPr>
            <w:tcW w:w="0" w:type="auto"/>
            <w:hideMark/>
          </w:tcPr>
          <w:p w14:paraId="06983A42"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76,712</w:t>
            </w:r>
          </w:p>
        </w:tc>
        <w:tc>
          <w:tcPr>
            <w:tcW w:w="0" w:type="auto"/>
            <w:hideMark/>
          </w:tcPr>
          <w:p w14:paraId="18FFA6C2"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$206,684</w:t>
            </w:r>
          </w:p>
        </w:tc>
        <w:tc>
          <w:tcPr>
            <w:tcW w:w="0" w:type="auto"/>
            <w:hideMark/>
          </w:tcPr>
          <w:p w14:paraId="22AD1D7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$12</w:t>
            </w:r>
            <w:r>
              <w:rPr>
                <w:rFonts w:ascii="Times New Roman" w:hAnsi="Times New Roman" w:cs="Times New Roman"/>
                <w:szCs w:val="22"/>
              </w:rPr>
              <w:t>9,972</w:t>
            </w:r>
          </w:p>
        </w:tc>
      </w:tr>
      <w:tr w:rsidR="00FE1748" w:rsidRPr="00434A22" w14:paraId="0BFF8EB1"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6EE391"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Union</w:t>
            </w:r>
          </w:p>
        </w:tc>
        <w:tc>
          <w:tcPr>
            <w:tcW w:w="0" w:type="auto"/>
            <w:hideMark/>
          </w:tcPr>
          <w:p w14:paraId="401D091E"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100,117</w:t>
            </w:r>
          </w:p>
        </w:tc>
        <w:tc>
          <w:tcPr>
            <w:tcW w:w="0" w:type="auto"/>
            <w:hideMark/>
          </w:tcPr>
          <w:p w14:paraId="34F39CC4"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$196,282</w:t>
            </w:r>
          </w:p>
        </w:tc>
        <w:tc>
          <w:tcPr>
            <w:tcW w:w="0" w:type="auto"/>
            <w:hideMark/>
          </w:tcPr>
          <w:p w14:paraId="00D1CF04"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96,165</w:t>
            </w:r>
          </w:p>
        </w:tc>
      </w:tr>
      <w:tr w:rsidR="00FE1748" w:rsidRPr="00434A22" w14:paraId="366C8B17"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6611E5A8"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Passaic</w:t>
            </w:r>
          </w:p>
        </w:tc>
        <w:tc>
          <w:tcPr>
            <w:tcW w:w="0" w:type="auto"/>
            <w:hideMark/>
          </w:tcPr>
          <w:p w14:paraId="57A43CB4"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$87,</w:t>
            </w:r>
            <w:r>
              <w:rPr>
                <w:rFonts w:ascii="Times New Roman" w:hAnsi="Times New Roman" w:cs="Times New Roman"/>
                <w:szCs w:val="22"/>
              </w:rPr>
              <w:t>137</w:t>
            </w:r>
          </w:p>
        </w:tc>
        <w:tc>
          <w:tcPr>
            <w:tcW w:w="0" w:type="auto"/>
            <w:hideMark/>
          </w:tcPr>
          <w:p w14:paraId="52B99F4E"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$190,007</w:t>
            </w:r>
          </w:p>
        </w:tc>
        <w:tc>
          <w:tcPr>
            <w:tcW w:w="0" w:type="auto"/>
            <w:hideMark/>
          </w:tcPr>
          <w:p w14:paraId="36214BFA"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$102,</w:t>
            </w:r>
            <w:r>
              <w:rPr>
                <w:rFonts w:ascii="Times New Roman" w:hAnsi="Times New Roman" w:cs="Times New Roman"/>
                <w:szCs w:val="22"/>
              </w:rPr>
              <w:t>870</w:t>
            </w:r>
          </w:p>
        </w:tc>
      </w:tr>
      <w:tr w:rsidR="00FE1748" w:rsidRPr="00434A22" w14:paraId="46DFFF0A"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20BFF4"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Bergen</w:t>
            </w:r>
          </w:p>
        </w:tc>
        <w:tc>
          <w:tcPr>
            <w:tcW w:w="0" w:type="auto"/>
            <w:hideMark/>
          </w:tcPr>
          <w:p w14:paraId="6C70E23B"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$123,715</w:t>
            </w:r>
          </w:p>
        </w:tc>
        <w:tc>
          <w:tcPr>
            <w:tcW w:w="0" w:type="auto"/>
            <w:hideMark/>
          </w:tcPr>
          <w:p w14:paraId="41A3F588"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$224,862</w:t>
            </w:r>
          </w:p>
        </w:tc>
        <w:tc>
          <w:tcPr>
            <w:tcW w:w="0" w:type="auto"/>
            <w:hideMark/>
          </w:tcPr>
          <w:p w14:paraId="4A0F453D"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$101,147</w:t>
            </w:r>
          </w:p>
        </w:tc>
      </w:tr>
      <w:tr w:rsidR="00FE1748" w:rsidRPr="00434A22" w14:paraId="7AB82CEE"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1A480039"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Monmouth</w:t>
            </w:r>
          </w:p>
        </w:tc>
        <w:tc>
          <w:tcPr>
            <w:tcW w:w="0" w:type="auto"/>
            <w:hideMark/>
          </w:tcPr>
          <w:p w14:paraId="573D3929"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$12</w:t>
            </w:r>
            <w:r>
              <w:rPr>
                <w:rFonts w:ascii="Times New Roman" w:hAnsi="Times New Roman" w:cs="Times New Roman"/>
                <w:szCs w:val="22"/>
              </w:rPr>
              <w:t>2,727</w:t>
            </w:r>
          </w:p>
        </w:tc>
        <w:tc>
          <w:tcPr>
            <w:tcW w:w="0" w:type="auto"/>
            <w:hideMark/>
          </w:tcPr>
          <w:p w14:paraId="62C6CB69"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$211,309</w:t>
            </w:r>
          </w:p>
        </w:tc>
        <w:tc>
          <w:tcPr>
            <w:tcW w:w="0" w:type="auto"/>
            <w:hideMark/>
          </w:tcPr>
          <w:p w14:paraId="7F765C19"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$8</w:t>
            </w:r>
            <w:r>
              <w:rPr>
                <w:rFonts w:ascii="Times New Roman" w:hAnsi="Times New Roman" w:cs="Times New Roman"/>
                <w:szCs w:val="22"/>
              </w:rPr>
              <w:t>8</w:t>
            </w:r>
            <w:r w:rsidRPr="00585EF3">
              <w:rPr>
                <w:rFonts w:ascii="Times New Roman" w:hAnsi="Times New Roman" w:cs="Times New Roman"/>
                <w:szCs w:val="22"/>
              </w:rPr>
              <w:t>,</w:t>
            </w:r>
            <w:r>
              <w:rPr>
                <w:rFonts w:ascii="Times New Roman" w:hAnsi="Times New Roman" w:cs="Times New Roman"/>
                <w:szCs w:val="22"/>
              </w:rPr>
              <w:t>582</w:t>
            </w:r>
          </w:p>
        </w:tc>
      </w:tr>
      <w:tr w:rsidR="00FE1748" w:rsidRPr="00434A22" w14:paraId="70FA8B2C"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A09E6D"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Sussex</w:t>
            </w:r>
          </w:p>
        </w:tc>
        <w:tc>
          <w:tcPr>
            <w:tcW w:w="0" w:type="auto"/>
            <w:hideMark/>
          </w:tcPr>
          <w:p w14:paraId="5AEA67BB"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w:t>
            </w:r>
            <w:r>
              <w:rPr>
                <w:rFonts w:ascii="Times New Roman" w:hAnsi="Times New Roman" w:cs="Times New Roman"/>
                <w:szCs w:val="22"/>
              </w:rPr>
              <w:t>14,316</w:t>
            </w:r>
          </w:p>
        </w:tc>
        <w:tc>
          <w:tcPr>
            <w:tcW w:w="0" w:type="auto"/>
            <w:hideMark/>
          </w:tcPr>
          <w:p w14:paraId="6D9A4A3F"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$188,237</w:t>
            </w:r>
          </w:p>
        </w:tc>
        <w:tc>
          <w:tcPr>
            <w:tcW w:w="0" w:type="auto"/>
            <w:hideMark/>
          </w:tcPr>
          <w:p w14:paraId="531F4082"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73,921</w:t>
            </w:r>
          </w:p>
        </w:tc>
      </w:tr>
      <w:tr w:rsidR="00FE1748" w:rsidRPr="00434A22" w14:paraId="4F3C927F"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56BA0FEB"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Morris</w:t>
            </w:r>
          </w:p>
        </w:tc>
        <w:tc>
          <w:tcPr>
            <w:tcW w:w="0" w:type="auto"/>
            <w:hideMark/>
          </w:tcPr>
          <w:p w14:paraId="3B018ACE"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$134,929</w:t>
            </w:r>
          </w:p>
        </w:tc>
        <w:tc>
          <w:tcPr>
            <w:tcW w:w="0" w:type="auto"/>
            <w:hideMark/>
          </w:tcPr>
          <w:p w14:paraId="4536D1E9"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$207,214</w:t>
            </w:r>
          </w:p>
        </w:tc>
        <w:tc>
          <w:tcPr>
            <w:tcW w:w="0" w:type="auto"/>
            <w:hideMark/>
          </w:tcPr>
          <w:p w14:paraId="631F9FA6"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$72,285</w:t>
            </w:r>
          </w:p>
        </w:tc>
      </w:tr>
      <w:tr w:rsidR="00FE1748" w:rsidRPr="00434A22" w14:paraId="32417898"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CD0141"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Somerset</w:t>
            </w:r>
          </w:p>
        </w:tc>
        <w:tc>
          <w:tcPr>
            <w:tcW w:w="0" w:type="auto"/>
            <w:hideMark/>
          </w:tcPr>
          <w:p w14:paraId="10B602C4"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$135,960</w:t>
            </w:r>
          </w:p>
        </w:tc>
        <w:tc>
          <w:tcPr>
            <w:tcW w:w="0" w:type="auto"/>
            <w:hideMark/>
          </w:tcPr>
          <w:p w14:paraId="3194DF1D"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$183,839</w:t>
            </w:r>
          </w:p>
        </w:tc>
        <w:tc>
          <w:tcPr>
            <w:tcW w:w="0" w:type="auto"/>
            <w:hideMark/>
          </w:tcPr>
          <w:p w14:paraId="37402112"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$47,879</w:t>
            </w:r>
          </w:p>
        </w:tc>
      </w:tr>
      <w:tr w:rsidR="00FE1748" w:rsidRPr="00434A22" w14:paraId="2C5ED4C4"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14BC3CE2"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Hunterdon</w:t>
            </w:r>
          </w:p>
        </w:tc>
        <w:tc>
          <w:tcPr>
            <w:tcW w:w="0" w:type="auto"/>
            <w:hideMark/>
          </w:tcPr>
          <w:p w14:paraId="14785F87"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$139,453</w:t>
            </w:r>
          </w:p>
        </w:tc>
        <w:tc>
          <w:tcPr>
            <w:tcW w:w="0" w:type="auto"/>
            <w:hideMark/>
          </w:tcPr>
          <w:p w14:paraId="68F58513"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$179,884</w:t>
            </w:r>
          </w:p>
        </w:tc>
        <w:tc>
          <w:tcPr>
            <w:tcW w:w="0" w:type="auto"/>
            <w:hideMark/>
          </w:tcPr>
          <w:p w14:paraId="2DFF0B3C"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$40,431</w:t>
            </w:r>
          </w:p>
        </w:tc>
      </w:tr>
      <w:tr w:rsidR="00FE1748" w:rsidRPr="00434A22" w14:paraId="4A95D53F"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15201F"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Cumberland</w:t>
            </w:r>
          </w:p>
        </w:tc>
        <w:tc>
          <w:tcPr>
            <w:tcW w:w="0" w:type="auto"/>
            <w:hideMark/>
          </w:tcPr>
          <w:p w14:paraId="3E7E1297"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w:t>
            </w:r>
            <w:r>
              <w:rPr>
                <w:rFonts w:ascii="Times New Roman" w:hAnsi="Times New Roman" w:cs="Times New Roman"/>
                <w:szCs w:val="22"/>
              </w:rPr>
              <w:t>4,499</w:t>
            </w:r>
          </w:p>
        </w:tc>
        <w:tc>
          <w:tcPr>
            <w:tcW w:w="0" w:type="auto"/>
            <w:hideMark/>
          </w:tcPr>
          <w:p w14:paraId="059BEFB8"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$84,842</w:t>
            </w:r>
          </w:p>
        </w:tc>
        <w:tc>
          <w:tcPr>
            <w:tcW w:w="0" w:type="auto"/>
            <w:hideMark/>
          </w:tcPr>
          <w:p w14:paraId="4A48168C"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20,343</w:t>
            </w:r>
          </w:p>
        </w:tc>
      </w:tr>
      <w:tr w:rsidR="00FE1748" w:rsidRPr="00434A22" w14:paraId="2550C56E"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7122AA4D"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Salem</w:t>
            </w:r>
          </w:p>
        </w:tc>
        <w:tc>
          <w:tcPr>
            <w:tcW w:w="0" w:type="auto"/>
            <w:hideMark/>
          </w:tcPr>
          <w:p w14:paraId="59EC32B3"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w:t>
            </w:r>
            <w:r>
              <w:rPr>
                <w:rFonts w:ascii="Times New Roman" w:hAnsi="Times New Roman" w:cs="Times New Roman"/>
                <w:szCs w:val="22"/>
              </w:rPr>
              <w:t>8,412</w:t>
            </w:r>
          </w:p>
        </w:tc>
        <w:tc>
          <w:tcPr>
            <w:tcW w:w="0" w:type="auto"/>
            <w:hideMark/>
          </w:tcPr>
          <w:p w14:paraId="5561D810"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$94,497</w:t>
            </w:r>
          </w:p>
        </w:tc>
        <w:tc>
          <w:tcPr>
            <w:tcW w:w="0" w:type="auto"/>
            <w:hideMark/>
          </w:tcPr>
          <w:p w14:paraId="25AAD241"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w:t>
            </w:r>
            <w:r>
              <w:rPr>
                <w:rFonts w:ascii="Times New Roman" w:hAnsi="Times New Roman" w:cs="Times New Roman"/>
                <w:szCs w:val="22"/>
              </w:rPr>
              <w:t>16,085</w:t>
            </w:r>
          </w:p>
        </w:tc>
      </w:tr>
    </w:tbl>
    <w:p w14:paraId="26B2E12F" w14:textId="77777777" w:rsidR="00FE1748" w:rsidRPr="00434A22" w:rsidRDefault="00FE1748" w:rsidP="00FE1748">
      <w:pPr>
        <w:rPr>
          <w:rFonts w:ascii="Times New Roman" w:hAnsi="Times New Roman" w:cs="Times New Roman"/>
        </w:rPr>
      </w:pPr>
    </w:p>
    <w:p w14:paraId="377581D8" w14:textId="77777777" w:rsidR="00FE1748" w:rsidRPr="00D174CA" w:rsidRDefault="00FE1748" w:rsidP="00FE1748">
      <w:pPr>
        <w:pStyle w:val="Heading3"/>
        <w:rPr>
          <w:rFonts w:ascii="Times New Roman" w:hAnsi="Times New Roman" w:cs="Times New Roman"/>
          <w:b/>
          <w:bCs/>
        </w:rPr>
      </w:pPr>
      <w:bookmarkStart w:id="19" w:name="_Toc240920509"/>
      <w:r w:rsidRPr="00D174CA">
        <w:rPr>
          <w:rFonts w:ascii="Times New Roman" w:hAnsi="Times New Roman" w:cs="Times New Roman"/>
          <w:b/>
          <w:bCs/>
        </w:rPr>
        <w:t>Why This Matters</w:t>
      </w:r>
      <w:bookmarkEnd w:id="19"/>
    </w:p>
    <w:p w14:paraId="32031708" w14:textId="77777777" w:rsidR="00FE1748" w:rsidRPr="00434A22" w:rsidRDefault="00FE1748" w:rsidP="00FE1748">
      <w:pPr>
        <w:pStyle w:val="origin-typography"/>
      </w:pPr>
      <w:r w:rsidRPr="00434A22">
        <w:t>In several counties, households need roughly $100,000 or more above the local median income to afford the median-priced home. This shows that the current approach is not reaching many working households, most affected by the housing crisis, especially families below 80% of area median income.</w:t>
      </w:r>
    </w:p>
    <w:p w14:paraId="3B976666" w14:textId="77777777" w:rsidR="00FE1748" w:rsidRPr="00434A22" w:rsidRDefault="00FE1748" w:rsidP="00FE1748">
      <w:pPr>
        <w:rPr>
          <w:rFonts w:ascii="Times New Roman" w:hAnsi="Times New Roman" w:cs="Times New Roman"/>
        </w:rPr>
      </w:pPr>
      <w:r>
        <w:rPr>
          <w:rFonts w:ascii="Times New Roman" w:hAnsi="Times New Roman" w:cs="Times New Roman"/>
        </w:rPr>
        <w:pict w14:anchorId="534934F1">
          <v:rect id="_x0000_i1051" style="width:0;height:1.5pt" o:hralign="center" o:hrstd="t" o:hr="t" fillcolor="#a0a0a0" stroked="f"/>
        </w:pict>
      </w:r>
    </w:p>
    <w:p w14:paraId="3A401E63" w14:textId="77777777" w:rsidR="00FE1748" w:rsidRPr="00434A22" w:rsidRDefault="00FE1748" w:rsidP="00FE1748">
      <w:pPr>
        <w:rPr>
          <w:rFonts w:ascii="Times New Roman" w:eastAsiaTheme="majorEastAsia" w:hAnsi="Times New Roman" w:cs="Times New Roman"/>
          <w:color w:val="B76E0B" w:themeColor="accent1" w:themeShade="BF"/>
          <w:sz w:val="28"/>
          <w:szCs w:val="28"/>
        </w:rPr>
      </w:pPr>
      <w:r w:rsidRPr="00434A22">
        <w:rPr>
          <w:rFonts w:ascii="Times New Roman" w:hAnsi="Times New Roman" w:cs="Times New Roman"/>
        </w:rPr>
        <w:br w:type="page"/>
      </w:r>
    </w:p>
    <w:p w14:paraId="48DA92CE" w14:textId="77777777" w:rsidR="00FE1748" w:rsidRPr="00E354AD" w:rsidRDefault="00FE1748" w:rsidP="00FE1748">
      <w:pPr>
        <w:pStyle w:val="Heading2"/>
        <w:rPr>
          <w:rFonts w:ascii="Times New Roman" w:hAnsi="Times New Roman" w:cs="Times New Roman"/>
          <w:b w:val="0"/>
          <w:bCs/>
          <w:color w:val="auto"/>
        </w:rPr>
      </w:pPr>
      <w:bookmarkStart w:id="20" w:name="_Toc240920510"/>
      <w:bookmarkStart w:id="21" w:name="_Toc240920755"/>
      <w:bookmarkStart w:id="22" w:name="_Toc240921621"/>
      <w:r w:rsidRPr="00E354AD">
        <w:rPr>
          <w:rFonts w:ascii="Segoe UI Emoji" w:hAnsi="Segoe UI Emoji" w:cs="Segoe UI Emoji"/>
          <w:bCs/>
          <w:color w:val="auto"/>
        </w:rPr>
        <w:lastRenderedPageBreak/>
        <w:t>🟧</w:t>
      </w:r>
      <w:r w:rsidRPr="00E354AD">
        <w:rPr>
          <w:rFonts w:ascii="Times New Roman" w:hAnsi="Times New Roman" w:cs="Times New Roman"/>
          <w:bCs/>
          <w:color w:val="auto"/>
        </w:rPr>
        <w:t xml:space="preserve"> Finding 3: Median Home Prices Are Too High for Buyer Assistance Alone</w:t>
      </w:r>
      <w:bookmarkEnd w:id="20"/>
      <w:bookmarkEnd w:id="21"/>
      <w:bookmarkEnd w:id="22"/>
    </w:p>
    <w:p w14:paraId="043ED6AF" w14:textId="77777777" w:rsidR="00FE1748" w:rsidRPr="00434A22" w:rsidRDefault="00FE1748" w:rsidP="00FE1748">
      <w:pPr>
        <w:pStyle w:val="origin-typography"/>
      </w:pPr>
      <w:r w:rsidRPr="00434A22">
        <w:t>Home values have risen sharply across New Jersey, making it difficult for a one-time subsidy to meaningfully improve affordability.</w:t>
      </w:r>
    </w:p>
    <w:p w14:paraId="79BEB5FC" w14:textId="77777777" w:rsidR="00FE1748" w:rsidRPr="00434A22" w:rsidRDefault="00FE1748" w:rsidP="00FE1748">
      <w:pPr>
        <w:pStyle w:val="Heading3"/>
        <w:rPr>
          <w:rFonts w:ascii="Times New Roman" w:hAnsi="Times New Roman" w:cs="Times New Roman"/>
        </w:rPr>
      </w:pPr>
      <w:bookmarkStart w:id="23" w:name="_Toc240920511"/>
      <w:r w:rsidRPr="00434A22">
        <w:rPr>
          <w:rFonts w:ascii="Segoe UI Emoji" w:hAnsi="Segoe UI Emoji" w:cs="Segoe UI Emoji"/>
        </w:rPr>
        <w:t>🟧</w:t>
      </w:r>
      <w:r w:rsidRPr="00434A22">
        <w:rPr>
          <w:rFonts w:ascii="Times New Roman" w:hAnsi="Times New Roman" w:cs="Times New Roman"/>
        </w:rPr>
        <w:t xml:space="preserve"> </w:t>
      </w:r>
      <w:r w:rsidRPr="00F14637">
        <w:rPr>
          <w:rFonts w:ascii="Times New Roman" w:hAnsi="Times New Roman" w:cs="Times New Roman"/>
        </w:rPr>
        <w:t>Exhibit 3. Highest 2026 Median Home Values by County</w:t>
      </w:r>
      <w:r>
        <w:rPr>
          <w:rStyle w:val="FootnoteReference"/>
          <w:rFonts w:ascii="Times New Roman" w:hAnsi="Times New Roman" w:cs="Times New Roman"/>
        </w:rPr>
        <w:footnoteReference w:id="13"/>
      </w:r>
      <w:bookmarkEnd w:id="23"/>
    </w:p>
    <w:p w14:paraId="24589084" w14:textId="77777777" w:rsidR="00FE1748" w:rsidRPr="00434A22" w:rsidRDefault="00FE1748" w:rsidP="00FE1748">
      <w:pPr>
        <w:rPr>
          <w:rFonts w:ascii="Times New Roman" w:hAnsi="Times New Roman" w:cs="Times New Roman"/>
        </w:rPr>
      </w:pPr>
    </w:p>
    <w:p w14:paraId="74ACD71D" w14:textId="77777777" w:rsidR="00FE1748" w:rsidRPr="00434A22" w:rsidRDefault="00FE1748" w:rsidP="00FE1748">
      <w:pPr>
        <w:rPr>
          <w:rFonts w:ascii="Times New Roman" w:hAnsi="Times New Roman" w:cs="Times New Roman"/>
        </w:rPr>
      </w:pPr>
    </w:p>
    <w:p w14:paraId="25C57876" w14:textId="77777777" w:rsidR="00FE1748" w:rsidRPr="00D174CA" w:rsidRDefault="00FE1748" w:rsidP="00FE1748">
      <w:pPr>
        <w:pStyle w:val="Heading3"/>
        <w:rPr>
          <w:rFonts w:ascii="Times New Roman" w:hAnsi="Times New Roman" w:cs="Times New Roman"/>
          <w:b/>
          <w:bCs/>
        </w:rPr>
      </w:pPr>
      <w:bookmarkStart w:id="24" w:name="_Toc240920512"/>
      <w:r w:rsidRPr="00D174CA">
        <w:rPr>
          <w:rFonts w:ascii="Times New Roman" w:hAnsi="Times New Roman" w:cs="Times New Roman"/>
          <w:b/>
          <w:bCs/>
          <w:noProof/>
        </w:rPr>
        <w:drawing>
          <wp:anchor distT="0" distB="0" distL="114300" distR="114300" simplePos="0" relativeHeight="251659264" behindDoc="0" locked="0" layoutInCell="1" allowOverlap="1" wp14:anchorId="21FBB370" wp14:editId="501FA0C2">
            <wp:simplePos x="0" y="0"/>
            <wp:positionH relativeFrom="column">
              <wp:posOffset>0</wp:posOffset>
            </wp:positionH>
            <wp:positionV relativeFrom="page">
              <wp:posOffset>3093720</wp:posOffset>
            </wp:positionV>
            <wp:extent cx="5913120" cy="3200400"/>
            <wp:effectExtent l="0" t="0" r="0" b="0"/>
            <wp:wrapSquare wrapText="bothSides"/>
            <wp:docPr id="119324963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Pr="00D174CA">
        <w:rPr>
          <w:rFonts w:ascii="Times New Roman" w:hAnsi="Times New Roman" w:cs="Times New Roman"/>
          <w:b/>
          <w:bCs/>
        </w:rPr>
        <w:t>Why This Matters</w:t>
      </w:r>
      <w:bookmarkEnd w:id="24"/>
    </w:p>
    <w:p w14:paraId="23AB0356" w14:textId="77777777" w:rsidR="00FE1748" w:rsidRPr="00434A22" w:rsidRDefault="00FE1748" w:rsidP="00FE1748">
      <w:pPr>
        <w:pStyle w:val="origin-typography"/>
      </w:pPr>
      <w:r w:rsidRPr="00434A22">
        <w:t>When median home values are between roughly $550,000 and $760,000 in many counties, a modest subsidy cannot carry the burden of affordability. Without producing more homes for sale, public assistance simply helps a limited number of buyers compete for scarce and expensive units.</w:t>
      </w:r>
    </w:p>
    <w:p w14:paraId="72ABC41E" w14:textId="77777777" w:rsidR="00FE1748" w:rsidRPr="00434A22" w:rsidRDefault="00FE1748" w:rsidP="00FE1748">
      <w:pPr>
        <w:rPr>
          <w:rFonts w:ascii="Times New Roman" w:hAnsi="Times New Roman" w:cs="Times New Roman"/>
        </w:rPr>
      </w:pPr>
      <w:r>
        <w:rPr>
          <w:rFonts w:ascii="Times New Roman" w:hAnsi="Times New Roman" w:cs="Times New Roman"/>
        </w:rPr>
        <w:pict w14:anchorId="3A80F35E">
          <v:rect id="_x0000_i1052" style="width:0;height:1.5pt" o:hralign="center" o:hrstd="t" o:hr="t" fillcolor="#a0a0a0" stroked="f"/>
        </w:pict>
      </w:r>
    </w:p>
    <w:p w14:paraId="428FB6D9" w14:textId="77777777" w:rsidR="00FE1748" w:rsidRPr="00434A22" w:rsidRDefault="00FE1748" w:rsidP="00FE1748">
      <w:pPr>
        <w:rPr>
          <w:rFonts w:ascii="Times New Roman" w:eastAsiaTheme="majorEastAsia" w:hAnsi="Times New Roman" w:cs="Times New Roman"/>
          <w:color w:val="B76E0B" w:themeColor="accent1" w:themeShade="BF"/>
          <w:sz w:val="28"/>
          <w:szCs w:val="28"/>
        </w:rPr>
      </w:pPr>
      <w:r w:rsidRPr="00434A22">
        <w:rPr>
          <w:rFonts w:ascii="Times New Roman" w:hAnsi="Times New Roman" w:cs="Times New Roman"/>
        </w:rPr>
        <w:br w:type="page"/>
      </w:r>
    </w:p>
    <w:p w14:paraId="1E6677BA" w14:textId="77777777" w:rsidR="00FE1748" w:rsidRPr="00E354AD" w:rsidRDefault="00FE1748" w:rsidP="00FE1748">
      <w:pPr>
        <w:pStyle w:val="Heading2"/>
        <w:rPr>
          <w:rFonts w:ascii="Times New Roman" w:hAnsi="Times New Roman" w:cs="Times New Roman"/>
          <w:b w:val="0"/>
          <w:bCs/>
          <w:color w:val="auto"/>
        </w:rPr>
      </w:pPr>
      <w:bookmarkStart w:id="25" w:name="_Toc240920513"/>
      <w:bookmarkStart w:id="26" w:name="_Toc240920756"/>
      <w:bookmarkStart w:id="27" w:name="_Toc240921622"/>
      <w:r w:rsidRPr="00E354AD">
        <w:rPr>
          <w:rFonts w:ascii="Segoe UI Emoji" w:hAnsi="Segoe UI Emoji" w:cs="Segoe UI Emoji"/>
          <w:bCs/>
          <w:color w:val="auto"/>
        </w:rPr>
        <w:lastRenderedPageBreak/>
        <w:t>🟧</w:t>
      </w:r>
      <w:r w:rsidRPr="00E354AD">
        <w:rPr>
          <w:rFonts w:ascii="Times New Roman" w:hAnsi="Times New Roman" w:cs="Times New Roman"/>
          <w:bCs/>
          <w:color w:val="auto"/>
        </w:rPr>
        <w:t xml:space="preserve"> Finding 4: Home Prices Increased Rapidly From 2019 to 2026</w:t>
      </w:r>
      <w:bookmarkEnd w:id="25"/>
      <w:bookmarkEnd w:id="26"/>
      <w:bookmarkEnd w:id="27"/>
    </w:p>
    <w:p w14:paraId="5C0BECB1" w14:textId="77777777" w:rsidR="00FE1748" w:rsidRPr="00434A22" w:rsidRDefault="00FE1748" w:rsidP="00FE1748">
      <w:pPr>
        <w:pStyle w:val="origin-typography"/>
      </w:pPr>
      <w:r w:rsidRPr="00434A22">
        <w:t>The data show that New Jersey’s average county home value increased from approximately $302,890 in 2019 to $527,048 in 2026.</w:t>
      </w:r>
    </w:p>
    <w:p w14:paraId="50841F23" w14:textId="77777777" w:rsidR="00FE1748" w:rsidRPr="00434A22" w:rsidRDefault="00FE1748" w:rsidP="00FE1748">
      <w:pPr>
        <w:pStyle w:val="Heading3"/>
        <w:rPr>
          <w:rFonts w:ascii="Times New Roman" w:hAnsi="Times New Roman" w:cs="Times New Roman"/>
          <w:b/>
          <w:bCs/>
        </w:rPr>
      </w:pPr>
      <w:bookmarkStart w:id="28" w:name="_Toc240920514"/>
      <w:r w:rsidRPr="0032113F">
        <w:rPr>
          <w:rFonts w:ascii="Segoe UI Emoji" w:hAnsi="Segoe UI Emoji" w:cs="Segoe UI Emoji"/>
        </w:rPr>
        <w:t>🟧</w:t>
      </w:r>
      <w:r w:rsidRPr="0032113F">
        <w:rPr>
          <w:rFonts w:ascii="Times New Roman" w:hAnsi="Times New Roman" w:cs="Times New Roman"/>
        </w:rPr>
        <w:t xml:space="preserve"> </w:t>
      </w:r>
      <w:r w:rsidRPr="00D174CA">
        <w:rPr>
          <w:rFonts w:ascii="Times New Roman" w:hAnsi="Times New Roman" w:cs="Times New Roman"/>
        </w:rPr>
        <w:t>Exhibit 4. Rising Home Values, 2019–2026</w:t>
      </w:r>
      <w:r>
        <w:rPr>
          <w:rStyle w:val="FootnoteReference"/>
          <w:rFonts w:ascii="Times New Roman" w:hAnsi="Times New Roman" w:cs="Times New Roman"/>
        </w:rPr>
        <w:footnoteReference w:id="14"/>
      </w:r>
      <w:bookmarkEnd w:id="28"/>
    </w:p>
    <w:p w14:paraId="77AB5D93" w14:textId="77777777" w:rsidR="00FE1748" w:rsidRPr="00434A22" w:rsidRDefault="00FE1748" w:rsidP="00FE1748">
      <w:pPr>
        <w:rPr>
          <w:rFonts w:ascii="Times New Roman" w:hAnsi="Times New Roman" w:cs="Times New Roman"/>
        </w:rPr>
      </w:pPr>
    </w:p>
    <w:tbl>
      <w:tblPr>
        <w:tblStyle w:val="ListTable7Colorful-Accent1"/>
        <w:tblW w:w="0" w:type="auto"/>
        <w:tblLook w:val="04A0" w:firstRow="1" w:lastRow="0" w:firstColumn="1" w:lastColumn="0" w:noHBand="0" w:noVBand="1"/>
      </w:tblPr>
      <w:tblGrid>
        <w:gridCol w:w="1316"/>
        <w:gridCol w:w="1695"/>
        <w:gridCol w:w="1695"/>
        <w:gridCol w:w="2092"/>
        <w:gridCol w:w="1750"/>
      </w:tblGrid>
      <w:tr w:rsidR="00FE1748" w:rsidRPr="00434A22" w14:paraId="50898BBB" w14:textId="77777777" w:rsidTr="005E587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431C4C5"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County</w:t>
            </w:r>
          </w:p>
        </w:tc>
        <w:tc>
          <w:tcPr>
            <w:tcW w:w="0" w:type="auto"/>
            <w:hideMark/>
          </w:tcPr>
          <w:p w14:paraId="0456707E"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June 2019 Price</w:t>
            </w:r>
          </w:p>
        </w:tc>
        <w:tc>
          <w:tcPr>
            <w:tcW w:w="0" w:type="auto"/>
            <w:hideMark/>
          </w:tcPr>
          <w:p w14:paraId="03264AB9"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June 2026 Price</w:t>
            </w:r>
          </w:p>
        </w:tc>
        <w:tc>
          <w:tcPr>
            <w:tcW w:w="0" w:type="auto"/>
            <w:hideMark/>
          </w:tcPr>
          <w:p w14:paraId="6F0D507A"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Seven-Year Increase</w:t>
            </w:r>
          </w:p>
        </w:tc>
        <w:tc>
          <w:tcPr>
            <w:tcW w:w="0" w:type="auto"/>
            <w:hideMark/>
          </w:tcPr>
          <w:p w14:paraId="6CD55E24"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Percent Increase</w:t>
            </w:r>
          </w:p>
        </w:tc>
      </w:tr>
      <w:tr w:rsidR="00FE1748" w:rsidRPr="00434A22" w14:paraId="31B6E61C"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C25A20"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Sussex</w:t>
            </w:r>
          </w:p>
        </w:tc>
        <w:tc>
          <w:tcPr>
            <w:tcW w:w="0" w:type="auto"/>
            <w:hideMark/>
          </w:tcPr>
          <w:p w14:paraId="06086BA0"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$249,900</w:t>
            </w:r>
          </w:p>
        </w:tc>
        <w:tc>
          <w:tcPr>
            <w:tcW w:w="0" w:type="auto"/>
            <w:hideMark/>
          </w:tcPr>
          <w:p w14:paraId="0C157F1E"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$638,333</w:t>
            </w:r>
          </w:p>
        </w:tc>
        <w:tc>
          <w:tcPr>
            <w:tcW w:w="0" w:type="auto"/>
            <w:hideMark/>
          </w:tcPr>
          <w:p w14:paraId="2FBA58E6"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$388,433</w:t>
            </w:r>
          </w:p>
        </w:tc>
        <w:tc>
          <w:tcPr>
            <w:tcW w:w="0" w:type="auto"/>
            <w:hideMark/>
          </w:tcPr>
          <w:p w14:paraId="1AF12F79"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155%</w:t>
            </w:r>
          </w:p>
        </w:tc>
      </w:tr>
      <w:tr w:rsidR="00FE1748" w:rsidRPr="00434A22" w14:paraId="71B1A64B"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50A6A001"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Cape May</w:t>
            </w:r>
          </w:p>
        </w:tc>
        <w:tc>
          <w:tcPr>
            <w:tcW w:w="0" w:type="auto"/>
            <w:hideMark/>
          </w:tcPr>
          <w:p w14:paraId="23552C6B"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$279,000</w:t>
            </w:r>
          </w:p>
        </w:tc>
        <w:tc>
          <w:tcPr>
            <w:tcW w:w="0" w:type="auto"/>
            <w:hideMark/>
          </w:tcPr>
          <w:p w14:paraId="1595C77C"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$694,000</w:t>
            </w:r>
          </w:p>
        </w:tc>
        <w:tc>
          <w:tcPr>
            <w:tcW w:w="0" w:type="auto"/>
            <w:hideMark/>
          </w:tcPr>
          <w:p w14:paraId="2E12A5E2"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$415,000</w:t>
            </w:r>
          </w:p>
        </w:tc>
        <w:tc>
          <w:tcPr>
            <w:tcW w:w="0" w:type="auto"/>
            <w:hideMark/>
          </w:tcPr>
          <w:p w14:paraId="1C728DAB"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149%</w:t>
            </w:r>
          </w:p>
        </w:tc>
      </w:tr>
      <w:tr w:rsidR="00FE1748" w:rsidRPr="00434A22" w14:paraId="6F515F88"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458EE5"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Warren</w:t>
            </w:r>
          </w:p>
        </w:tc>
        <w:tc>
          <w:tcPr>
            <w:tcW w:w="0" w:type="auto"/>
            <w:hideMark/>
          </w:tcPr>
          <w:p w14:paraId="5287C693"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$235,000</w:t>
            </w:r>
          </w:p>
        </w:tc>
        <w:tc>
          <w:tcPr>
            <w:tcW w:w="0" w:type="auto"/>
            <w:hideMark/>
          </w:tcPr>
          <w:p w14:paraId="3DD9D802"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$522,500</w:t>
            </w:r>
          </w:p>
        </w:tc>
        <w:tc>
          <w:tcPr>
            <w:tcW w:w="0" w:type="auto"/>
            <w:hideMark/>
          </w:tcPr>
          <w:p w14:paraId="6940A010"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$287,500</w:t>
            </w:r>
          </w:p>
        </w:tc>
        <w:tc>
          <w:tcPr>
            <w:tcW w:w="0" w:type="auto"/>
            <w:hideMark/>
          </w:tcPr>
          <w:p w14:paraId="6F496FC2"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122%</w:t>
            </w:r>
          </w:p>
        </w:tc>
      </w:tr>
      <w:tr w:rsidR="00FE1748" w:rsidRPr="00434A22" w14:paraId="0B2DC3CC"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1FCAE091"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Passaic</w:t>
            </w:r>
          </w:p>
        </w:tc>
        <w:tc>
          <w:tcPr>
            <w:tcW w:w="0" w:type="auto"/>
            <w:hideMark/>
          </w:tcPr>
          <w:p w14:paraId="4515CD67"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$310,000</w:t>
            </w:r>
          </w:p>
        </w:tc>
        <w:tc>
          <w:tcPr>
            <w:tcW w:w="0" w:type="auto"/>
            <w:hideMark/>
          </w:tcPr>
          <w:p w14:paraId="7075C121"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$606,000</w:t>
            </w:r>
          </w:p>
        </w:tc>
        <w:tc>
          <w:tcPr>
            <w:tcW w:w="0" w:type="auto"/>
            <w:hideMark/>
          </w:tcPr>
          <w:p w14:paraId="707F1196"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$296,000</w:t>
            </w:r>
          </w:p>
        </w:tc>
        <w:tc>
          <w:tcPr>
            <w:tcW w:w="0" w:type="auto"/>
            <w:hideMark/>
          </w:tcPr>
          <w:p w14:paraId="55D2986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95%</w:t>
            </w:r>
          </w:p>
        </w:tc>
      </w:tr>
      <w:tr w:rsidR="00FE1748" w:rsidRPr="00434A22" w14:paraId="5D218AF1"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BD1FCE"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Camden</w:t>
            </w:r>
          </w:p>
        </w:tc>
        <w:tc>
          <w:tcPr>
            <w:tcW w:w="0" w:type="auto"/>
            <w:hideMark/>
          </w:tcPr>
          <w:p w14:paraId="737A129A"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$185,000</w:t>
            </w:r>
          </w:p>
        </w:tc>
        <w:tc>
          <w:tcPr>
            <w:tcW w:w="0" w:type="auto"/>
            <w:hideMark/>
          </w:tcPr>
          <w:p w14:paraId="2D288606"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$349,667</w:t>
            </w:r>
          </w:p>
        </w:tc>
        <w:tc>
          <w:tcPr>
            <w:tcW w:w="0" w:type="auto"/>
            <w:hideMark/>
          </w:tcPr>
          <w:p w14:paraId="06AA5333"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$164,667</w:t>
            </w:r>
          </w:p>
        </w:tc>
        <w:tc>
          <w:tcPr>
            <w:tcW w:w="0" w:type="auto"/>
            <w:hideMark/>
          </w:tcPr>
          <w:p w14:paraId="4F4675C9"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89%</w:t>
            </w:r>
          </w:p>
        </w:tc>
      </w:tr>
      <w:tr w:rsidR="00FE1748" w:rsidRPr="00434A22" w14:paraId="382E2226"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6ADC211B"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Salem</w:t>
            </w:r>
          </w:p>
        </w:tc>
        <w:tc>
          <w:tcPr>
            <w:tcW w:w="0" w:type="auto"/>
            <w:hideMark/>
          </w:tcPr>
          <w:p w14:paraId="19EEF5AF"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$149,000</w:t>
            </w:r>
          </w:p>
        </w:tc>
        <w:tc>
          <w:tcPr>
            <w:tcW w:w="0" w:type="auto"/>
            <w:hideMark/>
          </w:tcPr>
          <w:p w14:paraId="7F53EB33"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$279,900</w:t>
            </w:r>
          </w:p>
        </w:tc>
        <w:tc>
          <w:tcPr>
            <w:tcW w:w="0" w:type="auto"/>
            <w:hideMark/>
          </w:tcPr>
          <w:p w14:paraId="5172FF4F"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$130,900</w:t>
            </w:r>
          </w:p>
        </w:tc>
        <w:tc>
          <w:tcPr>
            <w:tcW w:w="0" w:type="auto"/>
            <w:hideMark/>
          </w:tcPr>
          <w:p w14:paraId="43B9563C"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88%</w:t>
            </w:r>
          </w:p>
        </w:tc>
      </w:tr>
      <w:tr w:rsidR="00FE1748" w:rsidRPr="00434A22" w14:paraId="061FEEF6"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E0EA4A"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Atlantic</w:t>
            </w:r>
          </w:p>
        </w:tc>
        <w:tc>
          <w:tcPr>
            <w:tcW w:w="0" w:type="auto"/>
            <w:hideMark/>
          </w:tcPr>
          <w:p w14:paraId="3B88F498"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$200,000</w:t>
            </w:r>
          </w:p>
        </w:tc>
        <w:tc>
          <w:tcPr>
            <w:tcW w:w="0" w:type="auto"/>
            <w:hideMark/>
          </w:tcPr>
          <w:p w14:paraId="101C51A6"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$349,000</w:t>
            </w:r>
          </w:p>
        </w:tc>
        <w:tc>
          <w:tcPr>
            <w:tcW w:w="0" w:type="auto"/>
            <w:hideMark/>
          </w:tcPr>
          <w:p w14:paraId="29750C65"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$149,000</w:t>
            </w:r>
          </w:p>
        </w:tc>
        <w:tc>
          <w:tcPr>
            <w:tcW w:w="0" w:type="auto"/>
            <w:hideMark/>
          </w:tcPr>
          <w:p w14:paraId="0A695649"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75%</w:t>
            </w:r>
          </w:p>
        </w:tc>
      </w:tr>
      <w:tr w:rsidR="00FE1748" w:rsidRPr="00434A22" w14:paraId="771024DE"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121F0EF0"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Ocean</w:t>
            </w:r>
          </w:p>
        </w:tc>
        <w:tc>
          <w:tcPr>
            <w:tcW w:w="0" w:type="auto"/>
            <w:hideMark/>
          </w:tcPr>
          <w:p w14:paraId="4C8CD02C"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$272,000</w:t>
            </w:r>
          </w:p>
        </w:tc>
        <w:tc>
          <w:tcPr>
            <w:tcW w:w="0" w:type="auto"/>
            <w:hideMark/>
          </w:tcPr>
          <w:p w14:paraId="511B10A9"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$475,667</w:t>
            </w:r>
          </w:p>
        </w:tc>
        <w:tc>
          <w:tcPr>
            <w:tcW w:w="0" w:type="auto"/>
            <w:hideMark/>
          </w:tcPr>
          <w:p w14:paraId="165AF3B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$203,667</w:t>
            </w:r>
          </w:p>
        </w:tc>
        <w:tc>
          <w:tcPr>
            <w:tcW w:w="0" w:type="auto"/>
            <w:hideMark/>
          </w:tcPr>
          <w:p w14:paraId="3A44A8E5"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75%</w:t>
            </w:r>
          </w:p>
        </w:tc>
      </w:tr>
      <w:tr w:rsidR="00FE1748" w:rsidRPr="00434A22" w14:paraId="01557E35"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634405"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Union</w:t>
            </w:r>
          </w:p>
        </w:tc>
        <w:tc>
          <w:tcPr>
            <w:tcW w:w="0" w:type="auto"/>
            <w:hideMark/>
          </w:tcPr>
          <w:p w14:paraId="183558E6"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$360,000</w:t>
            </w:r>
          </w:p>
        </w:tc>
        <w:tc>
          <w:tcPr>
            <w:tcW w:w="0" w:type="auto"/>
            <w:hideMark/>
          </w:tcPr>
          <w:p w14:paraId="51A0244E"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$628,167</w:t>
            </w:r>
          </w:p>
        </w:tc>
        <w:tc>
          <w:tcPr>
            <w:tcW w:w="0" w:type="auto"/>
            <w:hideMark/>
          </w:tcPr>
          <w:p w14:paraId="079D9962"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$268,167</w:t>
            </w:r>
          </w:p>
        </w:tc>
        <w:tc>
          <w:tcPr>
            <w:tcW w:w="0" w:type="auto"/>
            <w:hideMark/>
          </w:tcPr>
          <w:p w14:paraId="4411FE4C"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74%</w:t>
            </w:r>
          </w:p>
        </w:tc>
      </w:tr>
      <w:tr w:rsidR="00FE1748" w:rsidRPr="00434A22" w14:paraId="07A8BE28"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47D76D80"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Gloucester</w:t>
            </w:r>
          </w:p>
        </w:tc>
        <w:tc>
          <w:tcPr>
            <w:tcW w:w="0" w:type="auto"/>
            <w:hideMark/>
          </w:tcPr>
          <w:p w14:paraId="2E90B4D3"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$206,000</w:t>
            </w:r>
          </w:p>
        </w:tc>
        <w:tc>
          <w:tcPr>
            <w:tcW w:w="0" w:type="auto"/>
            <w:hideMark/>
          </w:tcPr>
          <w:p w14:paraId="0075C21F"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$357,483</w:t>
            </w:r>
          </w:p>
        </w:tc>
        <w:tc>
          <w:tcPr>
            <w:tcW w:w="0" w:type="auto"/>
            <w:hideMark/>
          </w:tcPr>
          <w:p w14:paraId="40A4CCF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$151,483</w:t>
            </w:r>
          </w:p>
        </w:tc>
        <w:tc>
          <w:tcPr>
            <w:tcW w:w="0" w:type="auto"/>
            <w:hideMark/>
          </w:tcPr>
          <w:p w14:paraId="0D58184B"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74%</w:t>
            </w:r>
          </w:p>
        </w:tc>
      </w:tr>
      <w:tr w:rsidR="00FE1748" w:rsidRPr="00434A22" w14:paraId="0CF9CEC5"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93ADE4"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Hudson</w:t>
            </w:r>
          </w:p>
        </w:tc>
        <w:tc>
          <w:tcPr>
            <w:tcW w:w="0" w:type="auto"/>
            <w:hideMark/>
          </w:tcPr>
          <w:p w14:paraId="0F82E7DC"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$395,000</w:t>
            </w:r>
          </w:p>
        </w:tc>
        <w:tc>
          <w:tcPr>
            <w:tcW w:w="0" w:type="auto"/>
            <w:hideMark/>
          </w:tcPr>
          <w:p w14:paraId="2C05A948"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$674,917</w:t>
            </w:r>
          </w:p>
        </w:tc>
        <w:tc>
          <w:tcPr>
            <w:tcW w:w="0" w:type="auto"/>
            <w:hideMark/>
          </w:tcPr>
          <w:p w14:paraId="703BF822"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$279,917</w:t>
            </w:r>
          </w:p>
        </w:tc>
        <w:tc>
          <w:tcPr>
            <w:tcW w:w="0" w:type="auto"/>
            <w:hideMark/>
          </w:tcPr>
          <w:p w14:paraId="47AB2D68"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71%</w:t>
            </w:r>
          </w:p>
        </w:tc>
      </w:tr>
      <w:tr w:rsidR="00FE1748" w:rsidRPr="00434A22" w14:paraId="3E795C70"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667E02D4"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Cumberland</w:t>
            </w:r>
          </w:p>
        </w:tc>
        <w:tc>
          <w:tcPr>
            <w:tcW w:w="0" w:type="auto"/>
            <w:hideMark/>
          </w:tcPr>
          <w:p w14:paraId="0B3F5FC0"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$157,000</w:t>
            </w:r>
          </w:p>
        </w:tc>
        <w:tc>
          <w:tcPr>
            <w:tcW w:w="0" w:type="auto"/>
            <w:hideMark/>
          </w:tcPr>
          <w:p w14:paraId="19490F56"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$263,000</w:t>
            </w:r>
          </w:p>
        </w:tc>
        <w:tc>
          <w:tcPr>
            <w:tcW w:w="0" w:type="auto"/>
            <w:hideMark/>
          </w:tcPr>
          <w:p w14:paraId="22DE0DC4"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$106,000</w:t>
            </w:r>
          </w:p>
        </w:tc>
        <w:tc>
          <w:tcPr>
            <w:tcW w:w="0" w:type="auto"/>
            <w:hideMark/>
          </w:tcPr>
          <w:p w14:paraId="3BC2E28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68%</w:t>
            </w:r>
          </w:p>
        </w:tc>
      </w:tr>
      <w:tr w:rsidR="00FE1748" w:rsidRPr="00434A22" w14:paraId="00729A3B"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DC1724"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Burlington</w:t>
            </w:r>
          </w:p>
        </w:tc>
        <w:tc>
          <w:tcPr>
            <w:tcW w:w="0" w:type="auto"/>
            <w:hideMark/>
          </w:tcPr>
          <w:p w14:paraId="2670B3D8"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$228,000</w:t>
            </w:r>
          </w:p>
        </w:tc>
        <w:tc>
          <w:tcPr>
            <w:tcW w:w="0" w:type="auto"/>
            <w:hideMark/>
          </w:tcPr>
          <w:p w14:paraId="4CB0314C"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$381,667</w:t>
            </w:r>
          </w:p>
        </w:tc>
        <w:tc>
          <w:tcPr>
            <w:tcW w:w="0" w:type="auto"/>
            <w:hideMark/>
          </w:tcPr>
          <w:p w14:paraId="1E60038F"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$153,667</w:t>
            </w:r>
          </w:p>
        </w:tc>
        <w:tc>
          <w:tcPr>
            <w:tcW w:w="0" w:type="auto"/>
            <w:hideMark/>
          </w:tcPr>
          <w:p w14:paraId="64753B58"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67%</w:t>
            </w:r>
          </w:p>
        </w:tc>
      </w:tr>
      <w:tr w:rsidR="00FE1748" w:rsidRPr="00434A22" w14:paraId="45BD2243"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47937531"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Essex</w:t>
            </w:r>
          </w:p>
        </w:tc>
        <w:tc>
          <w:tcPr>
            <w:tcW w:w="0" w:type="auto"/>
            <w:hideMark/>
          </w:tcPr>
          <w:p w14:paraId="7F03B5A2"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$385,000</w:t>
            </w:r>
          </w:p>
        </w:tc>
        <w:tc>
          <w:tcPr>
            <w:tcW w:w="0" w:type="auto"/>
            <w:hideMark/>
          </w:tcPr>
          <w:p w14:paraId="4C5C158A"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$638,333</w:t>
            </w:r>
          </w:p>
        </w:tc>
        <w:tc>
          <w:tcPr>
            <w:tcW w:w="0" w:type="auto"/>
            <w:hideMark/>
          </w:tcPr>
          <w:p w14:paraId="03B33B8F"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$253,333</w:t>
            </w:r>
          </w:p>
        </w:tc>
        <w:tc>
          <w:tcPr>
            <w:tcW w:w="0" w:type="auto"/>
            <w:hideMark/>
          </w:tcPr>
          <w:p w14:paraId="0E008A0F"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66%</w:t>
            </w:r>
          </w:p>
        </w:tc>
      </w:tr>
      <w:tr w:rsidR="00FE1748" w:rsidRPr="00434A22" w14:paraId="6BD93EE2"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D842C1"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Monmouth</w:t>
            </w:r>
          </w:p>
        </w:tc>
        <w:tc>
          <w:tcPr>
            <w:tcW w:w="0" w:type="auto"/>
            <w:hideMark/>
          </w:tcPr>
          <w:p w14:paraId="1A85947F"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$420,000</w:t>
            </w:r>
          </w:p>
        </w:tc>
        <w:tc>
          <w:tcPr>
            <w:tcW w:w="0" w:type="auto"/>
            <w:hideMark/>
          </w:tcPr>
          <w:p w14:paraId="119E9053"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$695,375</w:t>
            </w:r>
          </w:p>
        </w:tc>
        <w:tc>
          <w:tcPr>
            <w:tcW w:w="0" w:type="auto"/>
            <w:hideMark/>
          </w:tcPr>
          <w:p w14:paraId="0B137EDF"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$275,375</w:t>
            </w:r>
          </w:p>
        </w:tc>
        <w:tc>
          <w:tcPr>
            <w:tcW w:w="0" w:type="auto"/>
            <w:hideMark/>
          </w:tcPr>
          <w:p w14:paraId="05F6E5C4"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66%</w:t>
            </w:r>
          </w:p>
        </w:tc>
      </w:tr>
      <w:tr w:rsidR="00FE1748" w:rsidRPr="00434A22" w14:paraId="547FA917"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084E442A"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Middlesex</w:t>
            </w:r>
          </w:p>
        </w:tc>
        <w:tc>
          <w:tcPr>
            <w:tcW w:w="0" w:type="auto"/>
            <w:hideMark/>
          </w:tcPr>
          <w:p w14:paraId="3D99ADA4"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$329,900</w:t>
            </w:r>
          </w:p>
        </w:tc>
        <w:tc>
          <w:tcPr>
            <w:tcW w:w="0" w:type="auto"/>
            <w:hideMark/>
          </w:tcPr>
          <w:p w14:paraId="4BA730C3"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$521,667</w:t>
            </w:r>
          </w:p>
        </w:tc>
        <w:tc>
          <w:tcPr>
            <w:tcW w:w="0" w:type="auto"/>
            <w:hideMark/>
          </w:tcPr>
          <w:p w14:paraId="68068DEA"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$191,767</w:t>
            </w:r>
          </w:p>
        </w:tc>
        <w:tc>
          <w:tcPr>
            <w:tcW w:w="0" w:type="auto"/>
            <w:hideMark/>
          </w:tcPr>
          <w:p w14:paraId="5E7F4B7B"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58%</w:t>
            </w:r>
          </w:p>
        </w:tc>
      </w:tr>
      <w:tr w:rsidR="00FE1748" w:rsidRPr="00434A22" w14:paraId="1F526988"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86B76A"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Bergen</w:t>
            </w:r>
          </w:p>
        </w:tc>
        <w:tc>
          <w:tcPr>
            <w:tcW w:w="0" w:type="auto"/>
            <w:hideMark/>
          </w:tcPr>
          <w:p w14:paraId="0B37321B"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$482,000</w:t>
            </w:r>
          </w:p>
        </w:tc>
        <w:tc>
          <w:tcPr>
            <w:tcW w:w="0" w:type="auto"/>
            <w:hideMark/>
          </w:tcPr>
          <w:p w14:paraId="5F89EC0E"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$760,000</w:t>
            </w:r>
          </w:p>
        </w:tc>
        <w:tc>
          <w:tcPr>
            <w:tcW w:w="0" w:type="auto"/>
            <w:hideMark/>
          </w:tcPr>
          <w:p w14:paraId="4931C268"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$278,000</w:t>
            </w:r>
          </w:p>
        </w:tc>
        <w:tc>
          <w:tcPr>
            <w:tcW w:w="0" w:type="auto"/>
            <w:hideMark/>
          </w:tcPr>
          <w:p w14:paraId="14FBEA26"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58%</w:t>
            </w:r>
          </w:p>
        </w:tc>
      </w:tr>
      <w:tr w:rsidR="00FE1748" w:rsidRPr="00434A22" w14:paraId="23A022EA"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37A742F3"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Mercer</w:t>
            </w:r>
          </w:p>
        </w:tc>
        <w:tc>
          <w:tcPr>
            <w:tcW w:w="0" w:type="auto"/>
            <w:hideMark/>
          </w:tcPr>
          <w:p w14:paraId="26C03520"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$280,000</w:t>
            </w:r>
          </w:p>
        </w:tc>
        <w:tc>
          <w:tcPr>
            <w:tcW w:w="0" w:type="auto"/>
            <w:hideMark/>
          </w:tcPr>
          <w:p w14:paraId="36C2E617"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$420,833</w:t>
            </w:r>
          </w:p>
        </w:tc>
        <w:tc>
          <w:tcPr>
            <w:tcW w:w="0" w:type="auto"/>
            <w:hideMark/>
          </w:tcPr>
          <w:p w14:paraId="6E01D58C"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$140,833</w:t>
            </w:r>
          </w:p>
        </w:tc>
        <w:tc>
          <w:tcPr>
            <w:tcW w:w="0" w:type="auto"/>
            <w:hideMark/>
          </w:tcPr>
          <w:p w14:paraId="576A49DA"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50%</w:t>
            </w:r>
          </w:p>
        </w:tc>
      </w:tr>
      <w:tr w:rsidR="00FE1748" w:rsidRPr="00434A22" w14:paraId="30318668"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682201"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Morris</w:t>
            </w:r>
          </w:p>
        </w:tc>
        <w:tc>
          <w:tcPr>
            <w:tcW w:w="0" w:type="auto"/>
            <w:hideMark/>
          </w:tcPr>
          <w:p w14:paraId="22ED66A4"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$448,000</w:t>
            </w:r>
          </w:p>
        </w:tc>
        <w:tc>
          <w:tcPr>
            <w:tcW w:w="0" w:type="auto"/>
            <w:hideMark/>
          </w:tcPr>
          <w:p w14:paraId="08877919"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$668,833</w:t>
            </w:r>
          </w:p>
        </w:tc>
        <w:tc>
          <w:tcPr>
            <w:tcW w:w="0" w:type="auto"/>
            <w:hideMark/>
          </w:tcPr>
          <w:p w14:paraId="503D6D8D"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$220,833</w:t>
            </w:r>
          </w:p>
        </w:tc>
        <w:tc>
          <w:tcPr>
            <w:tcW w:w="0" w:type="auto"/>
            <w:hideMark/>
          </w:tcPr>
          <w:p w14:paraId="5FA0A046"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49%</w:t>
            </w:r>
          </w:p>
        </w:tc>
      </w:tr>
      <w:tr w:rsidR="00FE1748" w:rsidRPr="00434A22" w14:paraId="2614AD64"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76FE099D"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Hunterdon</w:t>
            </w:r>
          </w:p>
        </w:tc>
        <w:tc>
          <w:tcPr>
            <w:tcW w:w="0" w:type="auto"/>
            <w:hideMark/>
          </w:tcPr>
          <w:p w14:paraId="0AC3B0F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$390,000</w:t>
            </w:r>
          </w:p>
        </w:tc>
        <w:tc>
          <w:tcPr>
            <w:tcW w:w="0" w:type="auto"/>
            <w:hideMark/>
          </w:tcPr>
          <w:p w14:paraId="1068C0FC"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$563,833</w:t>
            </w:r>
          </w:p>
        </w:tc>
        <w:tc>
          <w:tcPr>
            <w:tcW w:w="0" w:type="auto"/>
            <w:hideMark/>
          </w:tcPr>
          <w:p w14:paraId="1DC04171"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$173,833</w:t>
            </w:r>
          </w:p>
        </w:tc>
        <w:tc>
          <w:tcPr>
            <w:tcW w:w="0" w:type="auto"/>
            <w:hideMark/>
          </w:tcPr>
          <w:p w14:paraId="739B40DF"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45%</w:t>
            </w:r>
          </w:p>
        </w:tc>
      </w:tr>
      <w:tr w:rsidR="00FE1748" w:rsidRPr="00434A22" w14:paraId="265231AE" w14:textId="77777777" w:rsidTr="005E5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4C8AE8"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Somerset</w:t>
            </w:r>
          </w:p>
        </w:tc>
        <w:tc>
          <w:tcPr>
            <w:tcW w:w="0" w:type="auto"/>
            <w:hideMark/>
          </w:tcPr>
          <w:p w14:paraId="4D7994E3"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$399,900</w:t>
            </w:r>
          </w:p>
        </w:tc>
        <w:tc>
          <w:tcPr>
            <w:tcW w:w="0" w:type="auto"/>
            <w:hideMark/>
          </w:tcPr>
          <w:p w14:paraId="4C51A18E"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$578,833</w:t>
            </w:r>
          </w:p>
        </w:tc>
        <w:tc>
          <w:tcPr>
            <w:tcW w:w="0" w:type="auto"/>
            <w:hideMark/>
          </w:tcPr>
          <w:p w14:paraId="72AFB44D"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$178,933</w:t>
            </w:r>
          </w:p>
        </w:tc>
        <w:tc>
          <w:tcPr>
            <w:tcW w:w="0" w:type="auto"/>
            <w:hideMark/>
          </w:tcPr>
          <w:p w14:paraId="59A4E781" w14:textId="77777777" w:rsidR="00FE1748" w:rsidRPr="00585EF3"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45%</w:t>
            </w:r>
          </w:p>
        </w:tc>
      </w:tr>
      <w:tr w:rsidR="00FE1748" w:rsidRPr="00434A22" w14:paraId="4330DC1F" w14:textId="77777777" w:rsidTr="005E5873">
        <w:tc>
          <w:tcPr>
            <w:cnfStyle w:val="001000000000" w:firstRow="0" w:lastRow="0" w:firstColumn="1" w:lastColumn="0" w:oddVBand="0" w:evenVBand="0" w:oddHBand="0" w:evenHBand="0" w:firstRowFirstColumn="0" w:firstRowLastColumn="0" w:lastRowFirstColumn="0" w:lastRowLastColumn="0"/>
            <w:tcW w:w="0" w:type="auto"/>
            <w:hideMark/>
          </w:tcPr>
          <w:p w14:paraId="3A48B6AE"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Average</w:t>
            </w:r>
          </w:p>
        </w:tc>
        <w:tc>
          <w:tcPr>
            <w:tcW w:w="0" w:type="auto"/>
            <w:hideMark/>
          </w:tcPr>
          <w:p w14:paraId="1294FC3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$302,890</w:t>
            </w:r>
          </w:p>
        </w:tc>
        <w:tc>
          <w:tcPr>
            <w:tcW w:w="0" w:type="auto"/>
            <w:hideMark/>
          </w:tcPr>
          <w:p w14:paraId="789C9CFF"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$527,048</w:t>
            </w:r>
          </w:p>
        </w:tc>
        <w:tc>
          <w:tcPr>
            <w:tcW w:w="0" w:type="auto"/>
            <w:hideMark/>
          </w:tcPr>
          <w:p w14:paraId="2B3FECBB"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$224,158</w:t>
            </w:r>
          </w:p>
        </w:tc>
        <w:tc>
          <w:tcPr>
            <w:tcW w:w="0" w:type="auto"/>
            <w:hideMark/>
          </w:tcPr>
          <w:p w14:paraId="4E6992C8" w14:textId="77777777" w:rsidR="00FE1748" w:rsidRPr="00585EF3"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5EF3">
              <w:rPr>
                <w:rFonts w:ascii="Times New Roman" w:hAnsi="Times New Roman" w:cs="Times New Roman"/>
                <w:szCs w:val="22"/>
              </w:rPr>
              <w:t>78%</w:t>
            </w:r>
          </w:p>
        </w:tc>
      </w:tr>
    </w:tbl>
    <w:p w14:paraId="44796675" w14:textId="77777777" w:rsidR="00FE1748" w:rsidRPr="00434A22" w:rsidRDefault="00FE1748" w:rsidP="00FE1748">
      <w:pPr>
        <w:rPr>
          <w:rFonts w:ascii="Times New Roman" w:hAnsi="Times New Roman" w:cs="Times New Roman"/>
        </w:rPr>
      </w:pPr>
    </w:p>
    <w:p w14:paraId="005C5E24" w14:textId="77777777" w:rsidR="00FE1748" w:rsidRPr="00434A22" w:rsidRDefault="00FE1748" w:rsidP="00FE1748">
      <w:pPr>
        <w:pStyle w:val="Heading3"/>
        <w:rPr>
          <w:rFonts w:ascii="Times New Roman" w:hAnsi="Times New Roman" w:cs="Times New Roman"/>
          <w:b/>
          <w:bCs/>
        </w:rPr>
      </w:pPr>
      <w:bookmarkStart w:id="29" w:name="_Toc240920515"/>
      <w:r w:rsidRPr="00434A22">
        <w:rPr>
          <w:rFonts w:ascii="Times New Roman" w:hAnsi="Times New Roman" w:cs="Times New Roman"/>
          <w:b/>
          <w:bCs/>
        </w:rPr>
        <w:t>Why This Matters</w:t>
      </w:r>
      <w:bookmarkEnd w:id="29"/>
    </w:p>
    <w:p w14:paraId="72943110" w14:textId="77777777" w:rsidR="00FE1748" w:rsidRPr="00434A22" w:rsidRDefault="00FE1748" w:rsidP="00FE1748">
      <w:pPr>
        <w:pStyle w:val="origin-typography"/>
      </w:pPr>
      <w:r w:rsidRPr="00434A22">
        <w:t>The average county home value increased by more than $224,000 in seven years. This rapid increase has made ownership harder for first-time buyers, renters, young adults, and families with limited savings.</w:t>
      </w:r>
    </w:p>
    <w:p w14:paraId="3A2B368A" w14:textId="77777777" w:rsidR="00FE1748" w:rsidRPr="007E7D85" w:rsidRDefault="00FE1748" w:rsidP="00FE1748">
      <w:pPr>
        <w:rPr>
          <w:rFonts w:ascii="Times New Roman" w:hAnsi="Times New Roman" w:cs="Times New Roman"/>
        </w:rPr>
      </w:pPr>
      <w:r>
        <w:rPr>
          <w:rFonts w:ascii="Times New Roman" w:hAnsi="Times New Roman" w:cs="Times New Roman"/>
        </w:rPr>
        <w:lastRenderedPageBreak/>
        <w:pict w14:anchorId="0005339F">
          <v:rect id="_x0000_i1053" style="width:0;height:1.5pt" o:hralign="center" o:hrstd="t" o:hr="t" fillcolor="#a0a0a0" stroked="f"/>
        </w:pict>
      </w:r>
    </w:p>
    <w:p w14:paraId="26D81A6F" w14:textId="77777777" w:rsidR="00FE1748" w:rsidRPr="00E354AD" w:rsidRDefault="00FE1748" w:rsidP="00FE1748">
      <w:pPr>
        <w:pStyle w:val="Heading2"/>
        <w:rPr>
          <w:rFonts w:ascii="Times New Roman" w:hAnsi="Times New Roman" w:cs="Times New Roman"/>
          <w:b w:val="0"/>
          <w:bCs/>
          <w:color w:val="auto"/>
        </w:rPr>
      </w:pPr>
      <w:bookmarkStart w:id="30" w:name="_Toc240920516"/>
      <w:bookmarkStart w:id="31" w:name="_Toc240920757"/>
      <w:bookmarkStart w:id="32" w:name="_Toc240921623"/>
      <w:r w:rsidRPr="00E354AD">
        <w:rPr>
          <w:rFonts w:ascii="Segoe UI Emoji" w:hAnsi="Segoe UI Emoji" w:cs="Segoe UI Emoji"/>
          <w:bCs/>
          <w:color w:val="auto"/>
        </w:rPr>
        <w:t>🟧</w:t>
      </w:r>
      <w:r w:rsidRPr="00E354AD">
        <w:rPr>
          <w:rFonts w:ascii="Times New Roman" w:hAnsi="Times New Roman" w:cs="Times New Roman"/>
          <w:bCs/>
          <w:color w:val="auto"/>
        </w:rPr>
        <w:t xml:space="preserve"> Finding 5: The State Downpayment Assistance Program Is Not Centered on Lower-Income Working Families</w:t>
      </w:r>
      <w:bookmarkEnd w:id="30"/>
      <w:bookmarkEnd w:id="31"/>
      <w:bookmarkEnd w:id="32"/>
    </w:p>
    <w:p w14:paraId="4B7AE70B" w14:textId="77777777" w:rsidR="00FE1748" w:rsidRPr="00434A22" w:rsidRDefault="00FE1748" w:rsidP="00FE1748">
      <w:pPr>
        <w:pStyle w:val="origin-typography"/>
      </w:pPr>
      <w:r w:rsidRPr="00434A22">
        <w:t xml:space="preserve">The program’s income limits </w:t>
      </w:r>
      <w:r>
        <w:t>are at or above</w:t>
      </w:r>
      <w:r w:rsidRPr="00434A22">
        <w:t xml:space="preserve"> the incomes of many New Jersey households.</w:t>
      </w:r>
    </w:p>
    <w:p w14:paraId="44FE7F37" w14:textId="77777777" w:rsidR="00FE1748" w:rsidRPr="00434A22" w:rsidRDefault="00FE1748" w:rsidP="00FE1748">
      <w:pPr>
        <w:pStyle w:val="Heading3"/>
        <w:rPr>
          <w:rFonts w:ascii="Times New Roman" w:hAnsi="Times New Roman" w:cs="Times New Roman"/>
          <w:b/>
          <w:bCs/>
        </w:rPr>
      </w:pPr>
      <w:bookmarkStart w:id="33" w:name="_Toc240920517"/>
      <w:r w:rsidRPr="0032113F">
        <w:rPr>
          <w:rFonts w:ascii="Segoe UI Emoji" w:hAnsi="Segoe UI Emoji" w:cs="Segoe UI Emoji"/>
        </w:rPr>
        <w:t>🟧</w:t>
      </w:r>
      <w:r w:rsidRPr="00434A22">
        <w:rPr>
          <w:rFonts w:ascii="Times New Roman" w:hAnsi="Times New Roman" w:cs="Times New Roman"/>
          <w:b/>
          <w:bCs/>
        </w:rPr>
        <w:t xml:space="preserve"> </w:t>
      </w:r>
      <w:r w:rsidRPr="00FE677B">
        <w:rPr>
          <w:rFonts w:ascii="Times New Roman" w:hAnsi="Times New Roman" w:cs="Times New Roman"/>
        </w:rPr>
        <w:t>Exhibit 5. Approximate Program Income Limits</w:t>
      </w:r>
      <w:r>
        <w:rPr>
          <w:rStyle w:val="FootnoteReference"/>
          <w:rFonts w:ascii="Times New Roman" w:hAnsi="Times New Roman" w:cs="Times New Roman"/>
        </w:rPr>
        <w:footnoteReference w:id="15"/>
      </w:r>
      <w:bookmarkEnd w:id="33"/>
    </w:p>
    <w:p w14:paraId="7263423C" w14:textId="77777777" w:rsidR="00FE1748" w:rsidRPr="00434A22" w:rsidRDefault="00FE1748" w:rsidP="00FE1748">
      <w:pPr>
        <w:rPr>
          <w:rFonts w:ascii="Times New Roman" w:hAnsi="Times New Roman" w:cs="Times New Roman"/>
        </w:rPr>
      </w:pPr>
    </w:p>
    <w:tbl>
      <w:tblPr>
        <w:tblStyle w:val="ListTable7Colorful-Accent1"/>
        <w:tblW w:w="0" w:type="auto"/>
        <w:jc w:val="center"/>
        <w:tblLook w:val="04A0" w:firstRow="1" w:lastRow="0" w:firstColumn="1" w:lastColumn="0" w:noHBand="0" w:noVBand="1"/>
      </w:tblPr>
      <w:tblGrid>
        <w:gridCol w:w="4311"/>
        <w:gridCol w:w="2673"/>
      </w:tblGrid>
      <w:tr w:rsidR="00FE1748" w:rsidRPr="00434A22" w14:paraId="31AD55A6" w14:textId="77777777" w:rsidTr="005E587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hideMark/>
          </w:tcPr>
          <w:p w14:paraId="64F0EF28"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Household Type</w:t>
            </w:r>
          </w:p>
        </w:tc>
        <w:tc>
          <w:tcPr>
            <w:tcW w:w="0" w:type="auto"/>
            <w:hideMark/>
          </w:tcPr>
          <w:p w14:paraId="0A13B903"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Approximate Income Limit</w:t>
            </w:r>
          </w:p>
        </w:tc>
      </w:tr>
      <w:tr w:rsidR="00FE1748" w:rsidRPr="00434A22" w14:paraId="7E0F8D69" w14:textId="77777777" w:rsidTr="005E58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1BB8590" w14:textId="77777777" w:rsidR="00FE1748" w:rsidRPr="006F5B4A" w:rsidRDefault="00FE1748" w:rsidP="005E5873">
            <w:pPr>
              <w:rPr>
                <w:rFonts w:ascii="Times New Roman" w:hAnsi="Times New Roman" w:cs="Times New Roman"/>
                <w:szCs w:val="26"/>
              </w:rPr>
            </w:pPr>
            <w:r w:rsidRPr="006F5B4A">
              <w:rPr>
                <w:rFonts w:ascii="Times New Roman" w:hAnsi="Times New Roman" w:cs="Times New Roman"/>
                <w:szCs w:val="26"/>
              </w:rPr>
              <w:t>1–2 person households in many counties</w:t>
            </w:r>
          </w:p>
        </w:tc>
        <w:tc>
          <w:tcPr>
            <w:tcW w:w="0" w:type="auto"/>
            <w:hideMark/>
          </w:tcPr>
          <w:p w14:paraId="71FFD15B" w14:textId="77777777" w:rsidR="00FE1748" w:rsidRPr="00347F8B"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347F8B">
              <w:rPr>
                <w:rFonts w:ascii="Times New Roman" w:hAnsi="Times New Roman" w:cs="Times New Roman"/>
                <w:szCs w:val="22"/>
              </w:rPr>
              <w:t>$1</w:t>
            </w:r>
            <w:r>
              <w:rPr>
                <w:rFonts w:ascii="Times New Roman" w:hAnsi="Times New Roman" w:cs="Times New Roman"/>
                <w:szCs w:val="22"/>
              </w:rPr>
              <w:t>34,600</w:t>
            </w:r>
            <w:r w:rsidRPr="00347F8B">
              <w:rPr>
                <w:rFonts w:ascii="Times New Roman" w:hAnsi="Times New Roman" w:cs="Times New Roman"/>
                <w:szCs w:val="22"/>
              </w:rPr>
              <w:t xml:space="preserve"> to $1</w:t>
            </w:r>
            <w:r>
              <w:rPr>
                <w:rFonts w:ascii="Times New Roman" w:hAnsi="Times New Roman" w:cs="Times New Roman"/>
                <w:szCs w:val="22"/>
              </w:rPr>
              <w:t>54,800</w:t>
            </w:r>
          </w:p>
        </w:tc>
      </w:tr>
      <w:tr w:rsidR="00FE1748" w:rsidRPr="00434A22" w14:paraId="715DC6F6" w14:textId="77777777" w:rsidTr="005E58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5B0F101" w14:textId="77777777" w:rsidR="00FE1748" w:rsidRPr="006F5B4A" w:rsidRDefault="00FE1748" w:rsidP="005E5873">
            <w:pPr>
              <w:rPr>
                <w:rFonts w:ascii="Times New Roman" w:hAnsi="Times New Roman" w:cs="Times New Roman"/>
                <w:szCs w:val="26"/>
              </w:rPr>
            </w:pPr>
            <w:r w:rsidRPr="006F5B4A">
              <w:rPr>
                <w:rFonts w:ascii="Times New Roman" w:hAnsi="Times New Roman" w:cs="Times New Roman"/>
                <w:szCs w:val="26"/>
              </w:rPr>
              <w:t>3+ person households in many counties</w:t>
            </w:r>
          </w:p>
        </w:tc>
        <w:tc>
          <w:tcPr>
            <w:tcW w:w="0" w:type="auto"/>
            <w:hideMark/>
          </w:tcPr>
          <w:p w14:paraId="601A7094" w14:textId="77777777" w:rsidR="00FE1748" w:rsidRPr="00347F8B"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347F8B">
              <w:rPr>
                <w:rFonts w:ascii="Times New Roman" w:hAnsi="Times New Roman" w:cs="Times New Roman"/>
                <w:szCs w:val="22"/>
              </w:rPr>
              <w:t>$1</w:t>
            </w:r>
            <w:r>
              <w:rPr>
                <w:rFonts w:ascii="Times New Roman" w:hAnsi="Times New Roman" w:cs="Times New Roman"/>
                <w:szCs w:val="22"/>
              </w:rPr>
              <w:t>54,790</w:t>
            </w:r>
            <w:r w:rsidRPr="00347F8B">
              <w:rPr>
                <w:rFonts w:ascii="Times New Roman" w:hAnsi="Times New Roman" w:cs="Times New Roman"/>
                <w:szCs w:val="22"/>
              </w:rPr>
              <w:t xml:space="preserve"> to $1</w:t>
            </w:r>
            <w:r>
              <w:rPr>
                <w:rFonts w:ascii="Times New Roman" w:hAnsi="Times New Roman" w:cs="Times New Roman"/>
                <w:szCs w:val="22"/>
              </w:rPr>
              <w:t>78,020</w:t>
            </w:r>
          </w:p>
        </w:tc>
      </w:tr>
      <w:tr w:rsidR="00FE1748" w:rsidRPr="00434A22" w14:paraId="01530312" w14:textId="77777777" w:rsidTr="005E58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5A6CC78" w14:textId="77777777" w:rsidR="00FE1748" w:rsidRPr="006F5B4A" w:rsidRDefault="00FE1748" w:rsidP="005E5873">
            <w:pPr>
              <w:rPr>
                <w:rFonts w:ascii="Times New Roman" w:hAnsi="Times New Roman" w:cs="Times New Roman"/>
                <w:szCs w:val="26"/>
              </w:rPr>
            </w:pPr>
            <w:r w:rsidRPr="006F5B4A">
              <w:rPr>
                <w:rFonts w:ascii="Times New Roman" w:hAnsi="Times New Roman" w:cs="Times New Roman"/>
                <w:szCs w:val="26"/>
              </w:rPr>
              <w:t>1–2 person households in Urban Target Areas</w:t>
            </w:r>
          </w:p>
        </w:tc>
        <w:tc>
          <w:tcPr>
            <w:tcW w:w="0" w:type="auto"/>
            <w:hideMark/>
          </w:tcPr>
          <w:p w14:paraId="5AFEF03C" w14:textId="77777777" w:rsidR="00FE1748" w:rsidRPr="00347F8B"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347F8B">
              <w:rPr>
                <w:rFonts w:ascii="Times New Roman" w:hAnsi="Times New Roman" w:cs="Times New Roman"/>
                <w:szCs w:val="22"/>
              </w:rPr>
              <w:t>More than $160,000</w:t>
            </w:r>
          </w:p>
        </w:tc>
      </w:tr>
      <w:tr w:rsidR="00FE1748" w:rsidRPr="00434A22" w14:paraId="60EDA8E1" w14:textId="77777777" w:rsidTr="005E58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8A971C6" w14:textId="77777777" w:rsidR="00FE1748" w:rsidRPr="006F5B4A" w:rsidRDefault="00FE1748" w:rsidP="005E5873">
            <w:pPr>
              <w:rPr>
                <w:rFonts w:ascii="Times New Roman" w:hAnsi="Times New Roman" w:cs="Times New Roman"/>
                <w:szCs w:val="26"/>
              </w:rPr>
            </w:pPr>
            <w:r w:rsidRPr="006F5B4A">
              <w:rPr>
                <w:rFonts w:ascii="Times New Roman" w:hAnsi="Times New Roman" w:cs="Times New Roman"/>
                <w:szCs w:val="26"/>
              </w:rPr>
              <w:t>Larger households in Urban Target Areas</w:t>
            </w:r>
          </w:p>
        </w:tc>
        <w:tc>
          <w:tcPr>
            <w:tcW w:w="0" w:type="auto"/>
            <w:hideMark/>
          </w:tcPr>
          <w:p w14:paraId="477EA786" w14:textId="77777777" w:rsidR="00FE1748" w:rsidRPr="00347F8B"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347F8B">
              <w:rPr>
                <w:rFonts w:ascii="Times New Roman" w:hAnsi="Times New Roman" w:cs="Times New Roman"/>
                <w:szCs w:val="22"/>
              </w:rPr>
              <w:t>More than $195,000</w:t>
            </w:r>
          </w:p>
        </w:tc>
      </w:tr>
    </w:tbl>
    <w:p w14:paraId="18749A7B" w14:textId="77777777" w:rsidR="00FE1748" w:rsidRPr="00434A22" w:rsidRDefault="00FE1748" w:rsidP="00FE1748">
      <w:pPr>
        <w:rPr>
          <w:rFonts w:ascii="Times New Roman" w:hAnsi="Times New Roman" w:cs="Times New Roman"/>
        </w:rPr>
      </w:pPr>
    </w:p>
    <w:p w14:paraId="4C5712E3" w14:textId="77777777" w:rsidR="00FE1748" w:rsidRPr="00434A22" w:rsidRDefault="00FE1748" w:rsidP="00FE1748">
      <w:pPr>
        <w:pStyle w:val="Heading3"/>
        <w:rPr>
          <w:rFonts w:ascii="Times New Roman" w:hAnsi="Times New Roman" w:cs="Times New Roman"/>
          <w:b/>
          <w:bCs/>
        </w:rPr>
      </w:pPr>
      <w:bookmarkStart w:id="34" w:name="_Toc240920518"/>
      <w:r w:rsidRPr="00434A22">
        <w:rPr>
          <w:rFonts w:ascii="Times New Roman" w:hAnsi="Times New Roman" w:cs="Times New Roman"/>
          <w:b/>
          <w:bCs/>
        </w:rPr>
        <w:t>Why This Matters</w:t>
      </w:r>
      <w:bookmarkEnd w:id="34"/>
    </w:p>
    <w:p w14:paraId="437C5CC4" w14:textId="77777777" w:rsidR="00FE1748" w:rsidRPr="00434A22" w:rsidRDefault="00FE1748" w:rsidP="00FE1748">
      <w:pPr>
        <w:pStyle w:val="origin-typography"/>
      </w:pPr>
      <w:r w:rsidRPr="00434A22">
        <w:t>These income limits suggest that the program is better described as a middle- and upper-</w:t>
      </w:r>
      <w:r>
        <w:t xml:space="preserve"> </w:t>
      </w:r>
      <w:r w:rsidRPr="00434A22">
        <w:t>middle</w:t>
      </w:r>
      <w:r>
        <w:t xml:space="preserve"> </w:t>
      </w:r>
      <w:r w:rsidRPr="00434A22">
        <w:t xml:space="preserve">income assistance tool </w:t>
      </w:r>
      <w:r>
        <w:t xml:space="preserve">rather </w:t>
      </w:r>
      <w:r w:rsidRPr="00434A22">
        <w:t>than a true affordability strategy for lower-income households. It is not centered on residents below 80% of area median income, even though those households face the greatest barriers to ownership.</w:t>
      </w:r>
    </w:p>
    <w:p w14:paraId="14FF9DED" w14:textId="77777777" w:rsidR="00FE1748" w:rsidRPr="00434A22" w:rsidRDefault="00FE1748" w:rsidP="00FE1748">
      <w:pPr>
        <w:rPr>
          <w:rFonts w:ascii="Times New Roman" w:hAnsi="Times New Roman" w:cs="Times New Roman"/>
        </w:rPr>
      </w:pPr>
      <w:r>
        <w:rPr>
          <w:rFonts w:ascii="Times New Roman" w:hAnsi="Times New Roman" w:cs="Times New Roman"/>
        </w:rPr>
        <w:pict w14:anchorId="6299FF66">
          <v:rect id="_x0000_i1054" style="width:0;height:1.5pt" o:hralign="center" o:hrstd="t" o:hr="t" fillcolor="#a0a0a0" stroked="f"/>
        </w:pict>
      </w:r>
    </w:p>
    <w:p w14:paraId="2D5A54F5" w14:textId="77777777" w:rsidR="00FE1748" w:rsidRPr="00434A22" w:rsidRDefault="00FE1748" w:rsidP="00FE1748">
      <w:pPr>
        <w:rPr>
          <w:rFonts w:ascii="Times New Roman" w:eastAsiaTheme="majorEastAsia" w:hAnsi="Times New Roman" w:cs="Times New Roman"/>
          <w:color w:val="B76E0B" w:themeColor="accent1" w:themeShade="BF"/>
          <w:sz w:val="28"/>
          <w:szCs w:val="28"/>
        </w:rPr>
      </w:pPr>
      <w:r w:rsidRPr="00434A22">
        <w:rPr>
          <w:rFonts w:ascii="Times New Roman" w:hAnsi="Times New Roman" w:cs="Times New Roman"/>
        </w:rPr>
        <w:br w:type="page"/>
      </w:r>
    </w:p>
    <w:p w14:paraId="7D79F5E5" w14:textId="77777777" w:rsidR="00FE1748" w:rsidRPr="00E354AD" w:rsidRDefault="00FE1748" w:rsidP="00FE1748">
      <w:pPr>
        <w:pStyle w:val="Heading2"/>
        <w:rPr>
          <w:rFonts w:ascii="Times New Roman" w:hAnsi="Times New Roman" w:cs="Times New Roman"/>
          <w:b w:val="0"/>
          <w:bCs/>
          <w:color w:val="auto"/>
        </w:rPr>
      </w:pPr>
      <w:bookmarkStart w:id="35" w:name="_Toc240920519"/>
      <w:bookmarkStart w:id="36" w:name="_Toc240920758"/>
      <w:bookmarkStart w:id="37" w:name="_Toc240921624"/>
      <w:r w:rsidRPr="00E354AD">
        <w:rPr>
          <w:rFonts w:ascii="Segoe UI Emoji" w:hAnsi="Segoe UI Emoji" w:cs="Segoe UI Emoji"/>
          <w:bCs/>
          <w:color w:val="auto"/>
        </w:rPr>
        <w:lastRenderedPageBreak/>
        <w:t>🟧</w:t>
      </w:r>
      <w:r w:rsidRPr="00E354AD">
        <w:rPr>
          <w:rFonts w:ascii="Times New Roman" w:hAnsi="Times New Roman" w:cs="Times New Roman"/>
          <w:bCs/>
          <w:color w:val="auto"/>
        </w:rPr>
        <w:t xml:space="preserve"> Finding 6: Down Payment Assistance Does Not Create New Housing Supply</w:t>
      </w:r>
      <w:bookmarkEnd w:id="35"/>
      <w:bookmarkEnd w:id="36"/>
      <w:bookmarkEnd w:id="37"/>
    </w:p>
    <w:p w14:paraId="4ADB498D" w14:textId="77777777" w:rsidR="00FE1748" w:rsidRPr="00434A22" w:rsidRDefault="00FE1748" w:rsidP="00FE1748">
      <w:pPr>
        <w:pStyle w:val="origin-typography"/>
      </w:pPr>
      <w:r w:rsidRPr="00434A22">
        <w:t>The most important limitation is structural: down payment assistance does not build homes.</w:t>
      </w:r>
    </w:p>
    <w:p w14:paraId="59A18DB3" w14:textId="77777777" w:rsidR="00FE1748" w:rsidRPr="00434A22" w:rsidRDefault="00FE1748" w:rsidP="00FE1748">
      <w:pPr>
        <w:pStyle w:val="Heading3"/>
        <w:rPr>
          <w:rFonts w:ascii="Times New Roman" w:hAnsi="Times New Roman" w:cs="Times New Roman"/>
          <w:b/>
          <w:bCs/>
        </w:rPr>
      </w:pPr>
      <w:bookmarkStart w:id="38" w:name="_Toc240920520"/>
      <w:r w:rsidRPr="00434A22">
        <w:rPr>
          <w:rFonts w:ascii="Segoe UI Emoji" w:hAnsi="Segoe UI Emoji" w:cs="Segoe UI Emoji"/>
        </w:rPr>
        <w:t>🟧</w:t>
      </w:r>
      <w:r w:rsidRPr="00434A22">
        <w:rPr>
          <w:rFonts w:ascii="Times New Roman" w:hAnsi="Times New Roman" w:cs="Times New Roman"/>
        </w:rPr>
        <w:t xml:space="preserve"> </w:t>
      </w:r>
      <w:r w:rsidRPr="00504A16">
        <w:rPr>
          <w:rFonts w:ascii="Times New Roman" w:hAnsi="Times New Roman" w:cs="Times New Roman"/>
        </w:rPr>
        <w:t>Exhibit 6. What Down Payment Assistance Does and Does Not Do</w:t>
      </w:r>
      <w:bookmarkEnd w:id="38"/>
    </w:p>
    <w:p w14:paraId="25C5DFF3" w14:textId="77777777" w:rsidR="00FE1748" w:rsidRPr="00434A22" w:rsidRDefault="00FE1748" w:rsidP="00FE1748">
      <w:pPr>
        <w:rPr>
          <w:rFonts w:ascii="Times New Roman" w:hAnsi="Times New Roman" w:cs="Times New Roman"/>
        </w:rPr>
      </w:pPr>
    </w:p>
    <w:tbl>
      <w:tblPr>
        <w:tblStyle w:val="ListTable7Colorful-Accent1"/>
        <w:tblW w:w="9293" w:type="dxa"/>
        <w:tblLook w:val="0420" w:firstRow="1" w:lastRow="0" w:firstColumn="0" w:lastColumn="0" w:noHBand="0" w:noVBand="1"/>
      </w:tblPr>
      <w:tblGrid>
        <w:gridCol w:w="4794"/>
        <w:gridCol w:w="4499"/>
      </w:tblGrid>
      <w:tr w:rsidR="00FE1748" w:rsidRPr="00434A22" w14:paraId="080D68EC" w14:textId="77777777" w:rsidTr="005E5873">
        <w:trPr>
          <w:cnfStyle w:val="100000000000" w:firstRow="1" w:lastRow="0" w:firstColumn="0" w:lastColumn="0" w:oddVBand="0" w:evenVBand="0" w:oddHBand="0" w:evenHBand="0" w:firstRowFirstColumn="0" w:firstRowLastColumn="0" w:lastRowFirstColumn="0" w:lastRowLastColumn="0"/>
          <w:trHeight w:val="589"/>
        </w:trPr>
        <w:tc>
          <w:tcPr>
            <w:tcW w:w="0" w:type="auto"/>
            <w:hideMark/>
          </w:tcPr>
          <w:p w14:paraId="332D318A"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Down Payment Assistance Can Help With</w:t>
            </w:r>
          </w:p>
        </w:tc>
        <w:tc>
          <w:tcPr>
            <w:tcW w:w="0" w:type="auto"/>
            <w:hideMark/>
          </w:tcPr>
          <w:p w14:paraId="67D240D0"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Down Payment Assistance Cannot Solve</w:t>
            </w:r>
          </w:p>
        </w:tc>
      </w:tr>
      <w:tr w:rsidR="00FE1748" w:rsidRPr="00434A22" w14:paraId="7FD98EB8" w14:textId="77777777" w:rsidTr="005E5873">
        <w:trPr>
          <w:cnfStyle w:val="000000100000" w:firstRow="0" w:lastRow="0" w:firstColumn="0" w:lastColumn="0" w:oddVBand="0" w:evenVBand="0" w:oddHBand="1" w:evenHBand="0" w:firstRowFirstColumn="0" w:firstRowLastColumn="0" w:lastRowFirstColumn="0" w:lastRowLastColumn="0"/>
          <w:trHeight w:val="507"/>
        </w:trPr>
        <w:tc>
          <w:tcPr>
            <w:tcW w:w="0" w:type="auto"/>
            <w:hideMark/>
          </w:tcPr>
          <w:p w14:paraId="057ED4CB"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Helping some buyers reach closing</w:t>
            </w:r>
          </w:p>
        </w:tc>
        <w:tc>
          <w:tcPr>
            <w:tcW w:w="0" w:type="auto"/>
            <w:hideMark/>
          </w:tcPr>
          <w:p w14:paraId="6DB625EB"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Creating new housing units</w:t>
            </w:r>
          </w:p>
        </w:tc>
      </w:tr>
      <w:tr w:rsidR="00FE1748" w:rsidRPr="00434A22" w14:paraId="2100FC2C" w14:textId="77777777" w:rsidTr="005E5873">
        <w:trPr>
          <w:trHeight w:val="507"/>
        </w:trPr>
        <w:tc>
          <w:tcPr>
            <w:tcW w:w="0" w:type="auto"/>
            <w:hideMark/>
          </w:tcPr>
          <w:p w14:paraId="58452DD7"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Reducing upfront cash needs</w:t>
            </w:r>
          </w:p>
        </w:tc>
        <w:tc>
          <w:tcPr>
            <w:tcW w:w="0" w:type="auto"/>
            <w:hideMark/>
          </w:tcPr>
          <w:p w14:paraId="70FC7AD4"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Expanding the housing supply</w:t>
            </w:r>
          </w:p>
        </w:tc>
      </w:tr>
      <w:tr w:rsidR="00FE1748" w:rsidRPr="00434A22" w14:paraId="4E6E2A47" w14:textId="77777777" w:rsidTr="005E5873">
        <w:trPr>
          <w:cnfStyle w:val="000000100000" w:firstRow="0" w:lastRow="0" w:firstColumn="0" w:lastColumn="0" w:oddVBand="0" w:evenVBand="0" w:oddHBand="1" w:evenHBand="0" w:firstRowFirstColumn="0" w:firstRowLastColumn="0" w:lastRowFirstColumn="0" w:lastRowLastColumn="0"/>
          <w:trHeight w:val="507"/>
        </w:trPr>
        <w:tc>
          <w:tcPr>
            <w:tcW w:w="0" w:type="auto"/>
            <w:hideMark/>
          </w:tcPr>
          <w:p w14:paraId="3DD6DFDA"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Supporting buyers already near qualification</w:t>
            </w:r>
          </w:p>
        </w:tc>
        <w:tc>
          <w:tcPr>
            <w:tcW w:w="0" w:type="auto"/>
            <w:hideMark/>
          </w:tcPr>
          <w:p w14:paraId="77568D0D"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Lowering market prices</w:t>
            </w:r>
          </w:p>
        </w:tc>
      </w:tr>
      <w:tr w:rsidR="00FE1748" w:rsidRPr="00434A22" w14:paraId="66B3C4A8" w14:textId="77777777" w:rsidTr="005E5873">
        <w:trPr>
          <w:trHeight w:val="507"/>
        </w:trPr>
        <w:tc>
          <w:tcPr>
            <w:tcW w:w="0" w:type="auto"/>
            <w:hideMark/>
          </w:tcPr>
          <w:p w14:paraId="7358B7B0"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Improving individual transactions</w:t>
            </w:r>
          </w:p>
        </w:tc>
        <w:tc>
          <w:tcPr>
            <w:tcW w:w="0" w:type="auto"/>
            <w:hideMark/>
          </w:tcPr>
          <w:p w14:paraId="2D8BC93C" w14:textId="77777777" w:rsidR="00FE1748" w:rsidRPr="006D765B" w:rsidRDefault="00FE1748" w:rsidP="005E5873">
            <w:pPr>
              <w:rPr>
                <w:rFonts w:ascii="Times New Roman" w:hAnsi="Times New Roman" w:cs="Times New Roman"/>
                <w:szCs w:val="22"/>
              </w:rPr>
            </w:pPr>
            <w:r w:rsidRPr="006D765B">
              <w:rPr>
                <w:rFonts w:ascii="Times New Roman" w:hAnsi="Times New Roman" w:cs="Times New Roman"/>
                <w:szCs w:val="22"/>
              </w:rPr>
              <w:t>Creating affordability at scale</w:t>
            </w:r>
          </w:p>
        </w:tc>
      </w:tr>
    </w:tbl>
    <w:p w14:paraId="198C5446" w14:textId="77777777" w:rsidR="00FE1748" w:rsidRPr="00434A22" w:rsidRDefault="00FE1748" w:rsidP="00FE1748">
      <w:pPr>
        <w:rPr>
          <w:rFonts w:ascii="Times New Roman" w:hAnsi="Times New Roman" w:cs="Times New Roman"/>
        </w:rPr>
      </w:pPr>
    </w:p>
    <w:p w14:paraId="3789C2D8" w14:textId="77777777" w:rsidR="00FE1748" w:rsidRPr="00434A22" w:rsidRDefault="00FE1748" w:rsidP="00FE1748">
      <w:pPr>
        <w:pStyle w:val="Heading3"/>
        <w:rPr>
          <w:rFonts w:ascii="Times New Roman" w:hAnsi="Times New Roman" w:cs="Times New Roman"/>
          <w:b/>
          <w:bCs/>
        </w:rPr>
      </w:pPr>
      <w:bookmarkStart w:id="39" w:name="_Toc240920521"/>
      <w:r w:rsidRPr="00434A22">
        <w:rPr>
          <w:rFonts w:ascii="Times New Roman" w:hAnsi="Times New Roman" w:cs="Times New Roman"/>
          <w:b/>
          <w:bCs/>
        </w:rPr>
        <w:t>Why This Matters</w:t>
      </w:r>
      <w:bookmarkEnd w:id="39"/>
    </w:p>
    <w:p w14:paraId="3B04A1E6" w14:textId="77777777" w:rsidR="00FE1748" w:rsidRPr="00434A22" w:rsidRDefault="00FE1748" w:rsidP="00FE1748">
      <w:pPr>
        <w:pStyle w:val="origin-typography"/>
      </w:pPr>
      <w:r w:rsidRPr="00434A22">
        <w:t xml:space="preserve">In a supply-constrained market, helping buyers compete for existing homes does not solve the shortage. </w:t>
      </w:r>
      <w:r>
        <w:t>In fact, i</w:t>
      </w:r>
      <w:r w:rsidRPr="00434A22">
        <w:t xml:space="preserve">t may </w:t>
      </w:r>
      <w:r>
        <w:t xml:space="preserve">even </w:t>
      </w:r>
      <w:r w:rsidRPr="00434A22">
        <w:t xml:space="preserve">increase demand without increasing supply. If New Jersey wants lasting affordability, it must produce more homes that households can </w:t>
      </w:r>
      <w:r>
        <w:t xml:space="preserve">realistically </w:t>
      </w:r>
      <w:r w:rsidRPr="00434A22">
        <w:t>buy.</w:t>
      </w:r>
    </w:p>
    <w:p w14:paraId="3BC3CEB2" w14:textId="77777777" w:rsidR="00FE1748" w:rsidRPr="00434A22" w:rsidRDefault="00FE1748" w:rsidP="00FE1748">
      <w:pPr>
        <w:rPr>
          <w:rFonts w:ascii="Times New Roman" w:hAnsi="Times New Roman" w:cs="Times New Roman"/>
        </w:rPr>
      </w:pPr>
      <w:r>
        <w:rPr>
          <w:rFonts w:ascii="Times New Roman" w:hAnsi="Times New Roman" w:cs="Times New Roman"/>
        </w:rPr>
        <w:pict w14:anchorId="48E7E571">
          <v:rect id="_x0000_i1055" style="width:0;height:1.5pt" o:hralign="center" o:hrstd="t" o:hr="t" fillcolor="#a0a0a0" stroked="f"/>
        </w:pict>
      </w:r>
    </w:p>
    <w:p w14:paraId="61DD49D8" w14:textId="77777777" w:rsidR="00FE1748" w:rsidRPr="00434A22" w:rsidRDefault="00FE1748" w:rsidP="00FE1748">
      <w:pPr>
        <w:rPr>
          <w:rFonts w:ascii="Times New Roman" w:eastAsiaTheme="majorEastAsia" w:hAnsi="Times New Roman" w:cs="Times New Roman"/>
          <w:color w:val="B76E0B" w:themeColor="accent1" w:themeShade="BF"/>
          <w:sz w:val="28"/>
          <w:szCs w:val="28"/>
        </w:rPr>
      </w:pPr>
      <w:r w:rsidRPr="00434A22">
        <w:rPr>
          <w:rFonts w:ascii="Times New Roman" w:hAnsi="Times New Roman" w:cs="Times New Roman"/>
        </w:rPr>
        <w:br w:type="page"/>
      </w:r>
    </w:p>
    <w:p w14:paraId="0166D2BE" w14:textId="77777777" w:rsidR="00FE1748" w:rsidRPr="00E354AD" w:rsidRDefault="00FE1748" w:rsidP="00FE1748">
      <w:pPr>
        <w:pStyle w:val="Heading2"/>
        <w:rPr>
          <w:rFonts w:ascii="Times New Roman" w:hAnsi="Times New Roman" w:cs="Times New Roman"/>
          <w:b w:val="0"/>
          <w:bCs/>
          <w:color w:val="auto"/>
        </w:rPr>
      </w:pPr>
      <w:bookmarkStart w:id="40" w:name="_Toc240920522"/>
      <w:bookmarkStart w:id="41" w:name="_Toc240920759"/>
      <w:bookmarkStart w:id="42" w:name="_Toc240921625"/>
      <w:r w:rsidRPr="00E354AD">
        <w:rPr>
          <w:rFonts w:ascii="Segoe UI Emoji" w:hAnsi="Segoe UI Emoji" w:cs="Segoe UI Emoji"/>
          <w:bCs/>
          <w:color w:val="auto"/>
        </w:rPr>
        <w:lastRenderedPageBreak/>
        <w:t>🟧</w:t>
      </w:r>
      <w:r w:rsidRPr="00E354AD">
        <w:rPr>
          <w:rFonts w:ascii="Times New Roman" w:hAnsi="Times New Roman" w:cs="Times New Roman"/>
          <w:bCs/>
          <w:color w:val="auto"/>
        </w:rPr>
        <w:t xml:space="preserve"> Finding 7: Homeownership Production Supports Wealth Creation</w:t>
      </w:r>
      <w:bookmarkEnd w:id="40"/>
      <w:bookmarkEnd w:id="41"/>
      <w:bookmarkEnd w:id="42"/>
    </w:p>
    <w:p w14:paraId="60AF6C62" w14:textId="77777777" w:rsidR="00FE1748" w:rsidRPr="00434A22" w:rsidRDefault="00FE1748" w:rsidP="00FE1748">
      <w:pPr>
        <w:pStyle w:val="origin-typography"/>
      </w:pPr>
      <w:r w:rsidRPr="00434A22">
        <w:t>Homeownership is one of the primary ways families build long-term wealth. When home prices rise, existing homeowners gain equity, while renters fall further behind.</w:t>
      </w:r>
    </w:p>
    <w:p w14:paraId="44DDCFA2" w14:textId="77777777" w:rsidR="00FE1748" w:rsidRPr="00434A22" w:rsidRDefault="00FE1748" w:rsidP="00FE1748">
      <w:pPr>
        <w:pStyle w:val="Heading3"/>
        <w:rPr>
          <w:rFonts w:ascii="Times New Roman" w:hAnsi="Times New Roman" w:cs="Times New Roman"/>
          <w:b/>
          <w:bCs/>
        </w:rPr>
      </w:pPr>
      <w:bookmarkStart w:id="43" w:name="_Toc240920523"/>
      <w:r w:rsidRPr="00434A22">
        <w:rPr>
          <w:rFonts w:ascii="Segoe UI Emoji" w:hAnsi="Segoe UI Emoji" w:cs="Segoe UI Emoji"/>
        </w:rPr>
        <w:t>🟧</w:t>
      </w:r>
      <w:r w:rsidRPr="00434A22">
        <w:rPr>
          <w:rFonts w:ascii="Times New Roman" w:hAnsi="Times New Roman" w:cs="Times New Roman"/>
        </w:rPr>
        <w:t xml:space="preserve"> </w:t>
      </w:r>
      <w:r w:rsidRPr="00236D61">
        <w:rPr>
          <w:rFonts w:ascii="Times New Roman" w:hAnsi="Times New Roman" w:cs="Times New Roman"/>
        </w:rPr>
        <w:t>Exhibit 7. Wealth Gap Context</w:t>
      </w:r>
      <w:r>
        <w:rPr>
          <w:rStyle w:val="FootnoteReference"/>
          <w:rFonts w:ascii="Times New Roman" w:hAnsi="Times New Roman" w:cs="Times New Roman"/>
        </w:rPr>
        <w:footnoteReference w:id="16"/>
      </w:r>
      <w:bookmarkEnd w:id="43"/>
    </w:p>
    <w:p w14:paraId="0C734B9A" w14:textId="77777777" w:rsidR="00FE1748" w:rsidRPr="00434A22" w:rsidRDefault="00FE1748" w:rsidP="00FE1748">
      <w:pPr>
        <w:rPr>
          <w:rFonts w:ascii="Times New Roman" w:hAnsi="Times New Roman" w:cs="Times New Roman"/>
        </w:rPr>
      </w:pPr>
    </w:p>
    <w:tbl>
      <w:tblPr>
        <w:tblStyle w:val="ListTable7Colorful-Accent1"/>
        <w:tblW w:w="7472" w:type="dxa"/>
        <w:jc w:val="center"/>
        <w:tblLook w:val="04A0" w:firstRow="1" w:lastRow="0" w:firstColumn="1" w:lastColumn="0" w:noHBand="0" w:noVBand="1"/>
      </w:tblPr>
      <w:tblGrid>
        <w:gridCol w:w="3508"/>
        <w:gridCol w:w="3964"/>
      </w:tblGrid>
      <w:tr w:rsidR="00FE1748" w:rsidRPr="00434A22" w14:paraId="10815029" w14:textId="77777777" w:rsidTr="005E5873">
        <w:trPr>
          <w:cnfStyle w:val="100000000000" w:firstRow="1" w:lastRow="0" w:firstColumn="0" w:lastColumn="0" w:oddVBand="0" w:evenVBand="0" w:oddHBand="0" w:evenHBand="0" w:firstRowFirstColumn="0" w:firstRowLastColumn="0" w:lastRowFirstColumn="0" w:lastRowLastColumn="0"/>
          <w:trHeight w:val="551"/>
          <w:jc w:val="center"/>
        </w:trPr>
        <w:tc>
          <w:tcPr>
            <w:cnfStyle w:val="001000000100" w:firstRow="0" w:lastRow="0" w:firstColumn="1" w:lastColumn="0" w:oddVBand="0" w:evenVBand="0" w:oddHBand="0" w:evenHBand="0" w:firstRowFirstColumn="1" w:firstRowLastColumn="0" w:lastRowFirstColumn="0" w:lastRowLastColumn="0"/>
            <w:tcW w:w="0" w:type="auto"/>
            <w:hideMark/>
          </w:tcPr>
          <w:p w14:paraId="3E280CF1"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Household Group</w:t>
            </w:r>
          </w:p>
        </w:tc>
        <w:tc>
          <w:tcPr>
            <w:tcW w:w="0" w:type="auto"/>
            <w:hideMark/>
          </w:tcPr>
          <w:p w14:paraId="218543A8"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Approximate Household Wealth</w:t>
            </w:r>
          </w:p>
        </w:tc>
      </w:tr>
      <w:tr w:rsidR="00FE1748" w:rsidRPr="00434A22" w14:paraId="3149F3DA" w14:textId="77777777" w:rsidTr="005E5873">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BECFD5A" w14:textId="77777777" w:rsidR="00FE1748" w:rsidRPr="00B104AC" w:rsidRDefault="00FE1748" w:rsidP="005E5873">
            <w:pPr>
              <w:rPr>
                <w:rFonts w:ascii="Times New Roman" w:hAnsi="Times New Roman" w:cs="Times New Roman"/>
                <w:szCs w:val="26"/>
              </w:rPr>
            </w:pPr>
            <w:r w:rsidRPr="00B104AC">
              <w:rPr>
                <w:rFonts w:ascii="Times New Roman" w:hAnsi="Times New Roman" w:cs="Times New Roman"/>
                <w:szCs w:val="26"/>
              </w:rPr>
              <w:t>Latino and Black households</w:t>
            </w:r>
          </w:p>
        </w:tc>
        <w:tc>
          <w:tcPr>
            <w:tcW w:w="0" w:type="auto"/>
            <w:hideMark/>
          </w:tcPr>
          <w:p w14:paraId="5DC031F9" w14:textId="77777777" w:rsidR="00FE1748" w:rsidRPr="00B3317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About $20,000</w:t>
            </w:r>
          </w:p>
        </w:tc>
      </w:tr>
      <w:tr w:rsidR="00FE1748" w:rsidRPr="00434A22" w14:paraId="61C006D5" w14:textId="77777777" w:rsidTr="005E5873">
        <w:trPr>
          <w:trHeight w:val="4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D1CB63A" w14:textId="77777777" w:rsidR="00FE1748" w:rsidRPr="00B104AC" w:rsidRDefault="00FE1748" w:rsidP="005E5873">
            <w:pPr>
              <w:rPr>
                <w:rFonts w:ascii="Times New Roman" w:hAnsi="Times New Roman" w:cs="Times New Roman"/>
                <w:szCs w:val="26"/>
              </w:rPr>
            </w:pPr>
            <w:r w:rsidRPr="00B104AC">
              <w:rPr>
                <w:rFonts w:ascii="Times New Roman" w:hAnsi="Times New Roman" w:cs="Times New Roman"/>
                <w:szCs w:val="26"/>
              </w:rPr>
              <w:t>White households</w:t>
            </w:r>
          </w:p>
        </w:tc>
        <w:tc>
          <w:tcPr>
            <w:tcW w:w="0" w:type="auto"/>
            <w:hideMark/>
          </w:tcPr>
          <w:p w14:paraId="5187CC93" w14:textId="77777777" w:rsidR="00FE1748" w:rsidRPr="00B3317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More than $650,000</w:t>
            </w:r>
          </w:p>
        </w:tc>
      </w:tr>
    </w:tbl>
    <w:p w14:paraId="1ED2F4A5" w14:textId="77777777" w:rsidR="00FE1748" w:rsidRPr="00434A22" w:rsidRDefault="00FE1748" w:rsidP="00FE1748">
      <w:pPr>
        <w:rPr>
          <w:rFonts w:ascii="Times New Roman" w:hAnsi="Times New Roman" w:cs="Times New Roman"/>
        </w:rPr>
      </w:pPr>
    </w:p>
    <w:p w14:paraId="1E001A90" w14:textId="77777777" w:rsidR="00FE1748" w:rsidRPr="00434A22" w:rsidRDefault="00FE1748" w:rsidP="00FE1748">
      <w:pPr>
        <w:pStyle w:val="Heading3"/>
        <w:rPr>
          <w:rFonts w:ascii="Times New Roman" w:hAnsi="Times New Roman" w:cs="Times New Roman"/>
          <w:b/>
          <w:bCs/>
        </w:rPr>
      </w:pPr>
      <w:bookmarkStart w:id="44" w:name="_Toc240920524"/>
      <w:r w:rsidRPr="00434A22">
        <w:rPr>
          <w:rFonts w:ascii="Times New Roman" w:hAnsi="Times New Roman" w:cs="Times New Roman"/>
          <w:b/>
          <w:bCs/>
        </w:rPr>
        <w:t>Why This Matters</w:t>
      </w:r>
      <w:bookmarkEnd w:id="44"/>
    </w:p>
    <w:p w14:paraId="0507B7C5" w14:textId="77777777" w:rsidR="00FE1748" w:rsidRPr="00434A22" w:rsidRDefault="00FE1748" w:rsidP="00FE1748">
      <w:pPr>
        <w:pStyle w:val="origin-typography"/>
      </w:pPr>
      <w:r w:rsidRPr="00434A22">
        <w:t>If New Jersey focuses only on buyer assistance for already expensive homes, it does not close the wealth gap. It mainly helps households that already have stronger income and asset positions. Affordable homeownership production would create a more direct path for lower-wealth families to build equity, stability, and intergenerational wealth.</w:t>
      </w:r>
    </w:p>
    <w:p w14:paraId="1421AF8D" w14:textId="77777777" w:rsidR="00FE1748" w:rsidRPr="00434A22" w:rsidRDefault="00FE1748" w:rsidP="00FE1748">
      <w:pPr>
        <w:rPr>
          <w:rFonts w:ascii="Times New Roman" w:hAnsi="Times New Roman" w:cs="Times New Roman"/>
        </w:rPr>
      </w:pPr>
      <w:r>
        <w:rPr>
          <w:rFonts w:ascii="Times New Roman" w:hAnsi="Times New Roman" w:cs="Times New Roman"/>
        </w:rPr>
        <w:pict w14:anchorId="0359EB48">
          <v:rect id="_x0000_i1056" style="width:0;height:1.5pt" o:hralign="center" o:hrstd="t" o:hr="t" fillcolor="#a0a0a0" stroked="f"/>
        </w:pict>
      </w:r>
    </w:p>
    <w:p w14:paraId="6B58636D" w14:textId="77777777" w:rsidR="00FE1748" w:rsidRPr="00434A22" w:rsidRDefault="00FE1748" w:rsidP="00FE1748">
      <w:pPr>
        <w:rPr>
          <w:rFonts w:ascii="Times New Roman" w:eastAsiaTheme="majorEastAsia" w:hAnsi="Times New Roman" w:cs="Times New Roman"/>
          <w:color w:val="B76E0B" w:themeColor="accent1" w:themeShade="BF"/>
          <w:sz w:val="28"/>
          <w:szCs w:val="28"/>
        </w:rPr>
      </w:pPr>
      <w:r w:rsidRPr="00434A22">
        <w:rPr>
          <w:rFonts w:ascii="Times New Roman" w:hAnsi="Times New Roman" w:cs="Times New Roman"/>
        </w:rPr>
        <w:br w:type="page"/>
      </w:r>
    </w:p>
    <w:p w14:paraId="38EB3712" w14:textId="77777777" w:rsidR="00FE1748" w:rsidRPr="00E354AD" w:rsidRDefault="00FE1748" w:rsidP="00FE1748">
      <w:pPr>
        <w:pStyle w:val="Heading2"/>
        <w:rPr>
          <w:rFonts w:ascii="Times New Roman" w:hAnsi="Times New Roman" w:cs="Times New Roman"/>
          <w:b w:val="0"/>
          <w:bCs/>
          <w:color w:val="auto"/>
        </w:rPr>
      </w:pPr>
      <w:bookmarkStart w:id="45" w:name="_Toc240920525"/>
      <w:bookmarkStart w:id="46" w:name="_Toc240920760"/>
      <w:bookmarkStart w:id="47" w:name="_Toc240921626"/>
      <w:r w:rsidRPr="00E354AD">
        <w:rPr>
          <w:rFonts w:ascii="Segoe UI Emoji" w:hAnsi="Segoe UI Emoji" w:cs="Segoe UI Emoji"/>
          <w:bCs/>
          <w:color w:val="auto"/>
        </w:rPr>
        <w:lastRenderedPageBreak/>
        <w:t>🟧</w:t>
      </w:r>
      <w:r w:rsidRPr="00E354AD">
        <w:rPr>
          <w:rFonts w:ascii="Times New Roman" w:hAnsi="Times New Roman" w:cs="Times New Roman"/>
          <w:bCs/>
          <w:color w:val="auto"/>
        </w:rPr>
        <w:t xml:space="preserve"> Finding 8: State Housing Funding Priorities Are Misaligned</w:t>
      </w:r>
      <w:bookmarkEnd w:id="45"/>
      <w:bookmarkEnd w:id="46"/>
      <w:bookmarkEnd w:id="47"/>
    </w:p>
    <w:p w14:paraId="32AC8BBA" w14:textId="77777777" w:rsidR="00FE1748" w:rsidRPr="00434A22" w:rsidRDefault="00FE1748" w:rsidP="00FE1748">
      <w:pPr>
        <w:pStyle w:val="origin-typography"/>
      </w:pPr>
      <w:r w:rsidRPr="00434A22">
        <w:t xml:space="preserve">The funding data </w:t>
      </w:r>
      <w:proofErr w:type="gramStart"/>
      <w:r>
        <w:t>point</w:t>
      </w:r>
      <w:proofErr w:type="gramEnd"/>
      <w:r>
        <w:t xml:space="preserve"> to a major imbalance between housing revenue and investment in affordable homeownership</w:t>
      </w:r>
      <w:r w:rsidRPr="00434A22">
        <w:t>.</w:t>
      </w:r>
    </w:p>
    <w:p w14:paraId="20791E69" w14:textId="77777777" w:rsidR="00FE1748" w:rsidRPr="00434A22" w:rsidRDefault="00FE1748" w:rsidP="00FE1748">
      <w:pPr>
        <w:pStyle w:val="Heading3"/>
        <w:rPr>
          <w:rFonts w:ascii="Times New Roman" w:hAnsi="Times New Roman" w:cs="Times New Roman"/>
        </w:rPr>
      </w:pPr>
      <w:bookmarkStart w:id="48" w:name="_Toc240920526"/>
      <w:r w:rsidRPr="00434A22">
        <w:rPr>
          <w:rFonts w:ascii="Segoe UI Emoji" w:hAnsi="Segoe UI Emoji" w:cs="Segoe UI Emoji"/>
        </w:rPr>
        <w:t>🟧</w:t>
      </w:r>
      <w:r w:rsidRPr="00434A22">
        <w:rPr>
          <w:rFonts w:ascii="Times New Roman" w:hAnsi="Times New Roman" w:cs="Times New Roman"/>
        </w:rPr>
        <w:t xml:space="preserve"> </w:t>
      </w:r>
      <w:r w:rsidRPr="00145655">
        <w:rPr>
          <w:rFonts w:ascii="Times New Roman" w:hAnsi="Times New Roman" w:cs="Times New Roman"/>
        </w:rPr>
        <w:t>Exhibit 8. Funding Imbalance</w:t>
      </w:r>
      <w:r>
        <w:rPr>
          <w:rStyle w:val="FootnoteReference"/>
          <w:rFonts w:ascii="Times New Roman" w:hAnsi="Times New Roman" w:cs="Times New Roman"/>
        </w:rPr>
        <w:footnoteReference w:id="17"/>
      </w:r>
      <w:bookmarkEnd w:id="48"/>
    </w:p>
    <w:p w14:paraId="619072B1" w14:textId="77777777" w:rsidR="00FE1748" w:rsidRPr="00434A22" w:rsidRDefault="00FE1748" w:rsidP="00FE1748">
      <w:pPr>
        <w:rPr>
          <w:rFonts w:ascii="Times New Roman" w:hAnsi="Times New Roman" w:cs="Times New Roman"/>
        </w:rPr>
      </w:pPr>
    </w:p>
    <w:tbl>
      <w:tblPr>
        <w:tblStyle w:val="ListTable7Colorful-Accent1"/>
        <w:tblW w:w="9330" w:type="dxa"/>
        <w:tblLook w:val="04A0" w:firstRow="1" w:lastRow="0" w:firstColumn="1" w:lastColumn="0" w:noHBand="0" w:noVBand="1"/>
      </w:tblPr>
      <w:tblGrid>
        <w:gridCol w:w="4279"/>
        <w:gridCol w:w="2387"/>
        <w:gridCol w:w="2664"/>
      </w:tblGrid>
      <w:tr w:rsidR="00FE1748" w:rsidRPr="00434A22" w14:paraId="50C6798C" w14:textId="77777777" w:rsidTr="005E5873">
        <w:trPr>
          <w:cnfStyle w:val="100000000000" w:firstRow="1" w:lastRow="0" w:firstColumn="0" w:lastColumn="0" w:oddVBand="0" w:evenVBand="0" w:oddHBand="0" w:evenHBand="0" w:firstRowFirstColumn="0" w:firstRowLastColumn="0" w:lastRowFirstColumn="0" w:lastRowLastColumn="0"/>
          <w:trHeight w:val="788"/>
        </w:trPr>
        <w:tc>
          <w:tcPr>
            <w:cnfStyle w:val="001000000100" w:firstRow="0" w:lastRow="0" w:firstColumn="1" w:lastColumn="0" w:oddVBand="0" w:evenVBand="0" w:oddHBand="0" w:evenHBand="0" w:firstRowFirstColumn="1" w:firstRowLastColumn="0" w:lastRowFirstColumn="0" w:lastRowLastColumn="0"/>
            <w:tcW w:w="0" w:type="auto"/>
            <w:hideMark/>
          </w:tcPr>
          <w:p w14:paraId="7D8CD440"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Funding Area</w:t>
            </w:r>
          </w:p>
        </w:tc>
        <w:tc>
          <w:tcPr>
            <w:tcW w:w="0" w:type="auto"/>
            <w:hideMark/>
          </w:tcPr>
          <w:p w14:paraId="1EB7A74B"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Approximate Annual Amount</w:t>
            </w:r>
          </w:p>
        </w:tc>
        <w:tc>
          <w:tcPr>
            <w:tcW w:w="0" w:type="auto"/>
            <w:hideMark/>
          </w:tcPr>
          <w:p w14:paraId="0699AE75" w14:textId="77777777" w:rsidR="00FE1748" w:rsidRPr="00434A22"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Effect</w:t>
            </w:r>
          </w:p>
        </w:tc>
      </w:tr>
      <w:tr w:rsidR="00FE1748" w:rsidRPr="00434A22" w14:paraId="4C8851E2" w14:textId="77777777" w:rsidTr="005E5873">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0" w:type="auto"/>
            <w:hideMark/>
          </w:tcPr>
          <w:p w14:paraId="6931CECB"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Realty transfer fees collected</w:t>
            </w:r>
          </w:p>
        </w:tc>
        <w:tc>
          <w:tcPr>
            <w:tcW w:w="0" w:type="auto"/>
            <w:hideMark/>
          </w:tcPr>
          <w:p w14:paraId="36D720E8" w14:textId="77777777" w:rsidR="00FE1748" w:rsidRPr="00B3317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$900 million</w:t>
            </w:r>
          </w:p>
        </w:tc>
        <w:tc>
          <w:tcPr>
            <w:tcW w:w="0" w:type="auto"/>
            <w:hideMark/>
          </w:tcPr>
          <w:p w14:paraId="761631FB" w14:textId="77777777" w:rsidR="00FE1748" w:rsidRPr="00B3317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Major housing revenue source</w:t>
            </w:r>
          </w:p>
        </w:tc>
      </w:tr>
      <w:tr w:rsidR="00FE1748" w:rsidRPr="00434A22" w14:paraId="4CEDE4DC" w14:textId="77777777" w:rsidTr="005E5873">
        <w:trPr>
          <w:trHeight w:val="771"/>
        </w:trPr>
        <w:tc>
          <w:tcPr>
            <w:cnfStyle w:val="001000000000" w:firstRow="0" w:lastRow="0" w:firstColumn="1" w:lastColumn="0" w:oddVBand="0" w:evenVBand="0" w:oddHBand="0" w:evenHBand="0" w:firstRowFirstColumn="0" w:firstRowLastColumn="0" w:lastRowFirstColumn="0" w:lastRowLastColumn="0"/>
            <w:tcW w:w="0" w:type="auto"/>
            <w:hideMark/>
          </w:tcPr>
          <w:p w14:paraId="24BA33EE"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Affordable housing for under-80% AMI and non-LIHTC projects</w:t>
            </w:r>
          </w:p>
        </w:tc>
        <w:tc>
          <w:tcPr>
            <w:tcW w:w="0" w:type="auto"/>
            <w:hideMark/>
          </w:tcPr>
          <w:p w14:paraId="1666E95C" w14:textId="77777777" w:rsidR="00FE1748" w:rsidRPr="00B3317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w:t>
            </w:r>
            <w:r>
              <w:rPr>
                <w:rFonts w:ascii="Times New Roman" w:hAnsi="Times New Roman" w:cs="Times New Roman"/>
                <w:szCs w:val="22"/>
              </w:rPr>
              <w:t>36</w:t>
            </w:r>
            <w:r w:rsidRPr="00B33174">
              <w:rPr>
                <w:rFonts w:ascii="Times New Roman" w:hAnsi="Times New Roman" w:cs="Times New Roman"/>
                <w:szCs w:val="22"/>
              </w:rPr>
              <w:t xml:space="preserve"> million</w:t>
            </w:r>
          </w:p>
        </w:tc>
        <w:tc>
          <w:tcPr>
            <w:tcW w:w="0" w:type="auto"/>
            <w:hideMark/>
          </w:tcPr>
          <w:p w14:paraId="0513353C" w14:textId="77777777" w:rsidR="00FE1748" w:rsidRPr="00B3317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Pr>
                <w:rFonts w:ascii="Times New Roman" w:hAnsi="Times New Roman" w:cs="Times New Roman"/>
                <w:szCs w:val="22"/>
              </w:rPr>
              <w:t xml:space="preserve">Severely </w:t>
            </w:r>
            <w:r w:rsidRPr="00B33174">
              <w:rPr>
                <w:rFonts w:ascii="Times New Roman" w:hAnsi="Times New Roman" w:cs="Times New Roman"/>
                <w:szCs w:val="22"/>
              </w:rPr>
              <w:t>limited production capacity</w:t>
            </w:r>
          </w:p>
        </w:tc>
      </w:tr>
      <w:tr w:rsidR="00FE1748" w:rsidRPr="00434A22" w14:paraId="045AACE0" w14:textId="77777777" w:rsidTr="005E5873">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0" w:type="auto"/>
            <w:hideMark/>
          </w:tcPr>
          <w:p w14:paraId="5D71B040"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LIHTC and rental subsidy investment</w:t>
            </w:r>
          </w:p>
        </w:tc>
        <w:tc>
          <w:tcPr>
            <w:tcW w:w="0" w:type="auto"/>
            <w:hideMark/>
          </w:tcPr>
          <w:p w14:paraId="6D836967" w14:textId="77777777" w:rsidR="00FE1748" w:rsidRPr="00B3317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Large and recurring</w:t>
            </w:r>
            <w:r>
              <w:rPr>
                <w:rFonts w:ascii="Times New Roman" w:hAnsi="Times New Roman" w:cs="Times New Roman"/>
                <w:szCs w:val="22"/>
              </w:rPr>
              <w:t xml:space="preserve"> support</w:t>
            </w:r>
          </w:p>
        </w:tc>
        <w:tc>
          <w:tcPr>
            <w:tcW w:w="0" w:type="auto"/>
            <w:hideMark/>
          </w:tcPr>
          <w:p w14:paraId="656F92AC" w14:textId="77777777" w:rsidR="00FE1748" w:rsidRPr="00B3317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3174">
              <w:rPr>
                <w:rFonts w:ascii="Times New Roman" w:hAnsi="Times New Roman" w:cs="Times New Roman"/>
                <w:szCs w:val="22"/>
              </w:rPr>
              <w:t>Strongly favors rental pipeline</w:t>
            </w:r>
          </w:p>
        </w:tc>
      </w:tr>
    </w:tbl>
    <w:p w14:paraId="25A6BF6E" w14:textId="77777777" w:rsidR="00FE1748" w:rsidRPr="00434A22" w:rsidRDefault="00FE1748" w:rsidP="00FE1748">
      <w:pPr>
        <w:rPr>
          <w:rFonts w:ascii="Times New Roman" w:hAnsi="Times New Roman" w:cs="Times New Roman"/>
        </w:rPr>
      </w:pPr>
    </w:p>
    <w:p w14:paraId="090A9F54" w14:textId="77777777" w:rsidR="00FE1748" w:rsidRPr="00434A22" w:rsidRDefault="00FE1748" w:rsidP="00FE1748">
      <w:pPr>
        <w:pStyle w:val="Heading3"/>
        <w:rPr>
          <w:rFonts w:ascii="Times New Roman" w:hAnsi="Times New Roman" w:cs="Times New Roman"/>
          <w:b/>
          <w:bCs/>
        </w:rPr>
      </w:pPr>
      <w:bookmarkStart w:id="49" w:name="_Toc240920527"/>
      <w:r w:rsidRPr="00434A22">
        <w:rPr>
          <w:rFonts w:ascii="Times New Roman" w:hAnsi="Times New Roman" w:cs="Times New Roman"/>
          <w:b/>
          <w:bCs/>
        </w:rPr>
        <w:t>Why This Matters</w:t>
      </w:r>
      <w:bookmarkEnd w:id="49"/>
    </w:p>
    <w:p w14:paraId="778F0E1D" w14:textId="77777777" w:rsidR="00FE1748" w:rsidRPr="00434A22" w:rsidRDefault="00FE1748" w:rsidP="00FE1748">
      <w:pPr>
        <w:pStyle w:val="origin-typography"/>
      </w:pPr>
      <w:r w:rsidRPr="00434A22">
        <w:t>Rental housing remains important, but the current balance does not do enough to support affordable ownership, family wealth creation, or long-term community stability. New Jersey should rebalance its housing investments so affordable homeownership production receives stronger support.</w:t>
      </w:r>
    </w:p>
    <w:p w14:paraId="461D5C01" w14:textId="77777777" w:rsidR="00FE1748" w:rsidRPr="00434A22" w:rsidRDefault="00FE1748" w:rsidP="00FE1748">
      <w:pPr>
        <w:rPr>
          <w:rFonts w:ascii="Times New Roman" w:hAnsi="Times New Roman" w:cs="Times New Roman"/>
        </w:rPr>
      </w:pPr>
      <w:r>
        <w:rPr>
          <w:rFonts w:ascii="Times New Roman" w:hAnsi="Times New Roman" w:cs="Times New Roman"/>
        </w:rPr>
        <w:pict w14:anchorId="2BA3EAB8">
          <v:rect id="_x0000_i1057" style="width:0;height:1.5pt" o:hralign="center" o:hrstd="t" o:hr="t" fillcolor="#a0a0a0" stroked="f"/>
        </w:pict>
      </w:r>
    </w:p>
    <w:p w14:paraId="6F5F7ABC" w14:textId="77777777" w:rsidR="00FE1748" w:rsidRDefault="00FE1748" w:rsidP="00FE1748">
      <w:pPr>
        <w:rPr>
          <w:rFonts w:ascii="Segoe UI Emoji" w:eastAsiaTheme="majorEastAsia" w:hAnsi="Segoe UI Emoji" w:cs="Segoe UI Emoji"/>
          <w:b/>
          <w:bCs/>
          <w:color w:val="B76E0B" w:themeColor="accent1" w:themeShade="BF"/>
          <w:sz w:val="36"/>
          <w:szCs w:val="36"/>
        </w:rPr>
      </w:pPr>
      <w:r>
        <w:rPr>
          <w:rFonts w:ascii="Segoe UI Emoji" w:hAnsi="Segoe UI Emoji" w:cs="Segoe UI Emoji"/>
          <w:b/>
          <w:bCs/>
        </w:rPr>
        <w:br w:type="page"/>
      </w:r>
    </w:p>
    <w:p w14:paraId="3CF47F79" w14:textId="77777777" w:rsidR="00FE1748" w:rsidRPr="001C2A6B" w:rsidRDefault="00FE1748" w:rsidP="00FE1748">
      <w:pPr>
        <w:pStyle w:val="Heading1"/>
        <w:rPr>
          <w:rFonts w:ascii="Times New Roman" w:hAnsi="Times New Roman" w:cs="Times New Roman"/>
          <w:b w:val="0"/>
          <w:bCs/>
          <w:color w:val="000000" w:themeColor="text1"/>
        </w:rPr>
      </w:pPr>
      <w:bookmarkStart w:id="50" w:name="_Toc240920528"/>
      <w:bookmarkStart w:id="51" w:name="_Toc240920761"/>
      <w:bookmarkStart w:id="52" w:name="_Toc240921627"/>
      <w:r w:rsidRPr="001C2A6B">
        <w:rPr>
          <w:rFonts w:ascii="Segoe UI Emoji" w:hAnsi="Segoe UI Emoji" w:cs="Segoe UI Emoji"/>
          <w:bCs/>
          <w:color w:val="000000" w:themeColor="text1"/>
        </w:rPr>
        <w:lastRenderedPageBreak/>
        <w:t>🟧</w:t>
      </w:r>
      <w:r w:rsidRPr="001C2A6B">
        <w:rPr>
          <w:rFonts w:ascii="Times New Roman" w:hAnsi="Times New Roman" w:cs="Times New Roman"/>
          <w:bCs/>
          <w:color w:val="000000" w:themeColor="text1"/>
        </w:rPr>
        <w:t xml:space="preserve"> Policy Comparison</w:t>
      </w:r>
      <w:bookmarkEnd w:id="50"/>
      <w:bookmarkEnd w:id="51"/>
      <w:bookmarkEnd w:id="52"/>
    </w:p>
    <w:p w14:paraId="0ACB247F" w14:textId="77777777" w:rsidR="00FE1748" w:rsidRPr="00434A22" w:rsidRDefault="00FE1748" w:rsidP="00FE1748">
      <w:pPr>
        <w:rPr>
          <w:rFonts w:ascii="Times New Roman" w:hAnsi="Times New Roman" w:cs="Times New Roman"/>
        </w:rPr>
      </w:pPr>
    </w:p>
    <w:p w14:paraId="2E43BFF4" w14:textId="77777777" w:rsidR="00FE1748" w:rsidRPr="00434A22" w:rsidRDefault="00FE1748" w:rsidP="00FE1748">
      <w:pPr>
        <w:pStyle w:val="Heading3"/>
        <w:rPr>
          <w:rFonts w:ascii="Times New Roman" w:hAnsi="Times New Roman" w:cs="Times New Roman"/>
          <w:b/>
          <w:bCs/>
        </w:rPr>
      </w:pPr>
      <w:bookmarkStart w:id="53" w:name="_Toc240920529"/>
      <w:r w:rsidRPr="0032113F">
        <w:rPr>
          <w:rFonts w:ascii="Segoe UI Emoji" w:hAnsi="Segoe UI Emoji" w:cs="Segoe UI Emoji"/>
        </w:rPr>
        <w:t>🟧</w:t>
      </w:r>
      <w:r w:rsidRPr="00434A22">
        <w:rPr>
          <w:rFonts w:ascii="Times New Roman" w:hAnsi="Times New Roman" w:cs="Times New Roman"/>
          <w:b/>
          <w:bCs/>
        </w:rPr>
        <w:t xml:space="preserve"> </w:t>
      </w:r>
      <w:r w:rsidRPr="002E171C">
        <w:rPr>
          <w:rFonts w:ascii="Times New Roman" w:hAnsi="Times New Roman" w:cs="Times New Roman"/>
        </w:rPr>
        <w:t>Exhibit 9. Down Payment Assistance vs. Homeownership Production</w:t>
      </w:r>
      <w:bookmarkEnd w:id="53"/>
    </w:p>
    <w:p w14:paraId="7827C6BC" w14:textId="77777777" w:rsidR="00FE1748" w:rsidRPr="00434A22" w:rsidRDefault="00FE1748" w:rsidP="00FE1748">
      <w:pPr>
        <w:rPr>
          <w:rFonts w:ascii="Times New Roman" w:hAnsi="Times New Roman" w:cs="Times New Roman"/>
        </w:rPr>
      </w:pPr>
    </w:p>
    <w:tbl>
      <w:tblPr>
        <w:tblStyle w:val="ListTable7Colorful-Accent1"/>
        <w:tblW w:w="9343" w:type="dxa"/>
        <w:tblLook w:val="04A0" w:firstRow="1" w:lastRow="0" w:firstColumn="1" w:lastColumn="0" w:noHBand="0" w:noVBand="1"/>
      </w:tblPr>
      <w:tblGrid>
        <w:gridCol w:w="3953"/>
        <w:gridCol w:w="2785"/>
        <w:gridCol w:w="2605"/>
      </w:tblGrid>
      <w:tr w:rsidR="00FE1748" w:rsidRPr="00970321" w14:paraId="5CD3D5E8" w14:textId="77777777" w:rsidTr="005E5873">
        <w:trPr>
          <w:cnfStyle w:val="100000000000" w:firstRow="1" w:lastRow="0" w:firstColumn="0" w:lastColumn="0" w:oddVBand="0" w:evenVBand="0" w:oddHBand="0" w:evenHBand="0" w:firstRowFirstColumn="0" w:firstRowLastColumn="0" w:lastRowFirstColumn="0" w:lastRowLastColumn="0"/>
          <w:trHeight w:val="281"/>
        </w:trPr>
        <w:tc>
          <w:tcPr>
            <w:cnfStyle w:val="001000000100" w:firstRow="0" w:lastRow="0" w:firstColumn="1" w:lastColumn="0" w:oddVBand="0" w:evenVBand="0" w:oddHBand="0" w:evenHBand="0" w:firstRowFirstColumn="1" w:firstRowLastColumn="0" w:lastRowFirstColumn="0" w:lastRowLastColumn="0"/>
            <w:tcW w:w="3953" w:type="dxa"/>
          </w:tcPr>
          <w:p w14:paraId="290004FF" w14:textId="77777777" w:rsidR="00FE1748" w:rsidRPr="00AF6394" w:rsidRDefault="00FE1748" w:rsidP="005E5873">
            <w:pPr>
              <w:rPr>
                <w:rFonts w:ascii="Times New Roman" w:hAnsi="Times New Roman" w:cs="Times New Roman"/>
                <w:b/>
                <w:bCs/>
              </w:rPr>
            </w:pPr>
            <w:r w:rsidRPr="00AF6394">
              <w:rPr>
                <w:rFonts w:ascii="Times New Roman" w:hAnsi="Times New Roman" w:cs="Times New Roman"/>
                <w:b/>
                <w:bCs/>
              </w:rPr>
              <w:t>Policy Approach</w:t>
            </w:r>
          </w:p>
        </w:tc>
        <w:tc>
          <w:tcPr>
            <w:tcW w:w="2785" w:type="dxa"/>
          </w:tcPr>
          <w:p w14:paraId="00CC774B" w14:textId="77777777" w:rsidR="00FE1748" w:rsidRPr="00AF6394"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AF6394">
              <w:rPr>
                <w:rFonts w:ascii="Times New Roman" w:hAnsi="Times New Roman" w:cs="Times New Roman"/>
                <w:b/>
                <w:bCs/>
              </w:rPr>
              <w:t>Down payment assistance</w:t>
            </w:r>
          </w:p>
        </w:tc>
        <w:tc>
          <w:tcPr>
            <w:tcW w:w="2605" w:type="dxa"/>
          </w:tcPr>
          <w:p w14:paraId="3F0924C1" w14:textId="77777777" w:rsidR="00FE1748" w:rsidRPr="00AF6394" w:rsidRDefault="00FE1748" w:rsidP="005E587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AF6394">
              <w:rPr>
                <w:rFonts w:ascii="Times New Roman" w:hAnsi="Times New Roman" w:cs="Times New Roman"/>
                <w:b/>
                <w:bCs/>
              </w:rPr>
              <w:t>Homeownership production</w:t>
            </w:r>
          </w:p>
        </w:tc>
      </w:tr>
      <w:tr w:rsidR="00FE1748" w:rsidRPr="00970321" w14:paraId="5128EBFF" w14:textId="77777777" w:rsidTr="005E5873">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953" w:type="dxa"/>
          </w:tcPr>
          <w:p w14:paraId="45C209C3" w14:textId="77777777" w:rsidR="00FE1748" w:rsidRPr="00970321" w:rsidRDefault="00FE1748" w:rsidP="005E5873">
            <w:pPr>
              <w:rPr>
                <w:rFonts w:ascii="Times New Roman" w:hAnsi="Times New Roman" w:cs="Times New Roman"/>
              </w:rPr>
            </w:pPr>
            <w:proofErr w:type="gramStart"/>
            <w:r w:rsidRPr="00970321">
              <w:rPr>
                <w:rFonts w:ascii="Times New Roman" w:hAnsi="Times New Roman" w:cs="Times New Roman"/>
              </w:rPr>
              <w:t>Creates</w:t>
            </w:r>
            <w:proofErr w:type="gramEnd"/>
            <w:r w:rsidRPr="00970321">
              <w:rPr>
                <w:rFonts w:ascii="Times New Roman" w:hAnsi="Times New Roman" w:cs="Times New Roman"/>
              </w:rPr>
              <w:t xml:space="preserve"> New Homes</w:t>
            </w:r>
          </w:p>
        </w:tc>
        <w:tc>
          <w:tcPr>
            <w:tcW w:w="2785" w:type="dxa"/>
          </w:tcPr>
          <w:p w14:paraId="3FFD4792" w14:textId="77777777" w:rsidR="00FE1748" w:rsidRPr="00AF639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No</w:t>
            </w:r>
          </w:p>
        </w:tc>
        <w:tc>
          <w:tcPr>
            <w:tcW w:w="2605" w:type="dxa"/>
          </w:tcPr>
          <w:p w14:paraId="72AF7BAF" w14:textId="77777777" w:rsidR="00FE1748" w:rsidRPr="00AF639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Yes</w:t>
            </w:r>
          </w:p>
        </w:tc>
      </w:tr>
      <w:tr w:rsidR="00FE1748" w:rsidRPr="00970321" w14:paraId="205F3770" w14:textId="77777777" w:rsidTr="005E5873">
        <w:trPr>
          <w:trHeight w:val="567"/>
        </w:trPr>
        <w:tc>
          <w:tcPr>
            <w:cnfStyle w:val="001000000000" w:firstRow="0" w:lastRow="0" w:firstColumn="1" w:lastColumn="0" w:oddVBand="0" w:evenVBand="0" w:oddHBand="0" w:evenHBand="0" w:firstRowFirstColumn="0" w:firstRowLastColumn="0" w:lastRowFirstColumn="0" w:lastRowLastColumn="0"/>
            <w:tcW w:w="3953" w:type="dxa"/>
          </w:tcPr>
          <w:p w14:paraId="29F2868E" w14:textId="77777777" w:rsidR="00FE1748" w:rsidRPr="00970321" w:rsidRDefault="00FE1748" w:rsidP="005E5873">
            <w:pPr>
              <w:rPr>
                <w:rFonts w:ascii="Times New Roman" w:hAnsi="Times New Roman" w:cs="Times New Roman"/>
              </w:rPr>
            </w:pPr>
            <w:proofErr w:type="gramStart"/>
            <w:r w:rsidRPr="00970321">
              <w:rPr>
                <w:rFonts w:ascii="Times New Roman" w:hAnsi="Times New Roman" w:cs="Times New Roman"/>
              </w:rPr>
              <w:t>Improves</w:t>
            </w:r>
            <w:proofErr w:type="gramEnd"/>
            <w:r w:rsidRPr="00970321">
              <w:rPr>
                <w:rFonts w:ascii="Times New Roman" w:hAnsi="Times New Roman" w:cs="Times New Roman"/>
              </w:rPr>
              <w:t xml:space="preserve"> Affordability at Scale</w:t>
            </w:r>
          </w:p>
        </w:tc>
        <w:tc>
          <w:tcPr>
            <w:tcW w:w="2785" w:type="dxa"/>
          </w:tcPr>
          <w:p w14:paraId="5820C529" w14:textId="77777777" w:rsidR="00FE1748" w:rsidRPr="00AF639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Limited</w:t>
            </w:r>
          </w:p>
        </w:tc>
        <w:tc>
          <w:tcPr>
            <w:tcW w:w="2605" w:type="dxa"/>
          </w:tcPr>
          <w:p w14:paraId="7C388BFC" w14:textId="77777777" w:rsidR="00FE1748" w:rsidRPr="00AF639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Yes</w:t>
            </w:r>
          </w:p>
        </w:tc>
      </w:tr>
      <w:tr w:rsidR="00FE1748" w:rsidRPr="00970321" w14:paraId="311BC479" w14:textId="77777777" w:rsidTr="005E587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3953" w:type="dxa"/>
          </w:tcPr>
          <w:p w14:paraId="7FDE84F2" w14:textId="77777777" w:rsidR="00FE1748" w:rsidRPr="00970321" w:rsidRDefault="00FE1748" w:rsidP="005E5873">
            <w:pPr>
              <w:rPr>
                <w:rFonts w:ascii="Times New Roman" w:hAnsi="Times New Roman" w:cs="Times New Roman"/>
              </w:rPr>
            </w:pPr>
            <w:proofErr w:type="gramStart"/>
            <w:r w:rsidRPr="00970321">
              <w:rPr>
                <w:rFonts w:ascii="Times New Roman" w:hAnsi="Times New Roman" w:cs="Times New Roman"/>
              </w:rPr>
              <w:t>Helps</w:t>
            </w:r>
            <w:proofErr w:type="gramEnd"/>
            <w:r w:rsidRPr="00970321">
              <w:rPr>
                <w:rFonts w:ascii="Times New Roman" w:hAnsi="Times New Roman" w:cs="Times New Roman"/>
              </w:rPr>
              <w:t xml:space="preserve"> Households Under 80% AMI</w:t>
            </w:r>
          </w:p>
        </w:tc>
        <w:tc>
          <w:tcPr>
            <w:tcW w:w="2785" w:type="dxa"/>
          </w:tcPr>
          <w:p w14:paraId="169F4023" w14:textId="77777777" w:rsidR="00FE1748" w:rsidRPr="00AF639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Limited</w:t>
            </w:r>
          </w:p>
        </w:tc>
        <w:tc>
          <w:tcPr>
            <w:tcW w:w="2605" w:type="dxa"/>
          </w:tcPr>
          <w:p w14:paraId="766C3AE1" w14:textId="77777777" w:rsidR="00FE1748" w:rsidRPr="00AF6394" w:rsidRDefault="00FE1748" w:rsidP="005E58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Yes</w:t>
            </w:r>
          </w:p>
        </w:tc>
      </w:tr>
      <w:tr w:rsidR="00FE1748" w:rsidRPr="00970321" w14:paraId="579F59EB" w14:textId="77777777" w:rsidTr="005E5873">
        <w:trPr>
          <w:trHeight w:val="295"/>
        </w:trPr>
        <w:tc>
          <w:tcPr>
            <w:cnfStyle w:val="001000000000" w:firstRow="0" w:lastRow="0" w:firstColumn="1" w:lastColumn="0" w:oddVBand="0" w:evenVBand="0" w:oddHBand="0" w:evenHBand="0" w:firstRowFirstColumn="0" w:firstRowLastColumn="0" w:lastRowFirstColumn="0" w:lastRowLastColumn="0"/>
            <w:tcW w:w="3953" w:type="dxa"/>
          </w:tcPr>
          <w:p w14:paraId="114D1DD1" w14:textId="77777777" w:rsidR="00FE1748" w:rsidRPr="00970321" w:rsidRDefault="00FE1748" w:rsidP="005E5873">
            <w:pPr>
              <w:rPr>
                <w:rFonts w:ascii="Times New Roman" w:hAnsi="Times New Roman" w:cs="Times New Roman"/>
              </w:rPr>
            </w:pPr>
            <w:r w:rsidRPr="00970321">
              <w:rPr>
                <w:rFonts w:ascii="Times New Roman" w:hAnsi="Times New Roman" w:cs="Times New Roman"/>
              </w:rPr>
              <w:t>Builds Wealth</w:t>
            </w:r>
          </w:p>
        </w:tc>
        <w:tc>
          <w:tcPr>
            <w:tcW w:w="2785" w:type="dxa"/>
          </w:tcPr>
          <w:p w14:paraId="567D95D2" w14:textId="77777777" w:rsidR="00FE1748" w:rsidRPr="00AF639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Limited</w:t>
            </w:r>
          </w:p>
        </w:tc>
        <w:tc>
          <w:tcPr>
            <w:tcW w:w="2605" w:type="dxa"/>
          </w:tcPr>
          <w:p w14:paraId="2AE96A4A" w14:textId="77777777" w:rsidR="00FE1748" w:rsidRPr="00AF6394" w:rsidRDefault="00FE1748" w:rsidP="005E58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AF6394">
              <w:rPr>
                <w:rFonts w:ascii="Times New Roman" w:hAnsi="Times New Roman" w:cs="Times New Roman"/>
                <w:szCs w:val="22"/>
              </w:rPr>
              <w:t>Yes</w:t>
            </w:r>
          </w:p>
        </w:tc>
      </w:tr>
    </w:tbl>
    <w:p w14:paraId="17497FB0" w14:textId="77777777" w:rsidR="00FE1748" w:rsidRPr="00434A22" w:rsidRDefault="00FE1748" w:rsidP="00FE1748">
      <w:pPr>
        <w:rPr>
          <w:rFonts w:ascii="Times New Roman" w:hAnsi="Times New Roman" w:cs="Times New Roman"/>
        </w:rPr>
      </w:pPr>
    </w:p>
    <w:p w14:paraId="79B44B51" w14:textId="77777777" w:rsidR="00FE1748" w:rsidRPr="00434A22" w:rsidRDefault="00FE1748" w:rsidP="00FE1748">
      <w:pPr>
        <w:pStyle w:val="Heading3"/>
        <w:rPr>
          <w:rFonts w:ascii="Times New Roman" w:hAnsi="Times New Roman" w:cs="Times New Roman"/>
          <w:b/>
          <w:bCs/>
        </w:rPr>
      </w:pPr>
      <w:bookmarkStart w:id="54" w:name="_Toc240920530"/>
      <w:r w:rsidRPr="00434A22">
        <w:rPr>
          <w:rFonts w:ascii="Times New Roman" w:hAnsi="Times New Roman" w:cs="Times New Roman"/>
          <w:b/>
          <w:bCs/>
        </w:rPr>
        <w:t>Key Takeaway</w:t>
      </w:r>
      <w:bookmarkEnd w:id="54"/>
    </w:p>
    <w:p w14:paraId="14BA4E1A" w14:textId="77777777" w:rsidR="00FE1748" w:rsidRDefault="00FE1748" w:rsidP="00FE1748">
      <w:pPr>
        <w:pStyle w:val="origin-typography"/>
        <w:spacing w:before="0" w:beforeAutospacing="0" w:after="0" w:afterAutospacing="0"/>
      </w:pPr>
    </w:p>
    <w:p w14:paraId="4A52EFAC" w14:textId="77777777" w:rsidR="00FE1748" w:rsidRDefault="00FE1748" w:rsidP="00FE1748">
      <w:pPr>
        <w:pStyle w:val="origin-typography"/>
        <w:spacing w:before="0" w:beforeAutospacing="0" w:after="0" w:afterAutospacing="0"/>
      </w:pPr>
      <w:r>
        <w:t>Down payment assistance is a transaction tool, whereas homeownership production is a structural affordability strategy.</w:t>
      </w:r>
    </w:p>
    <w:p w14:paraId="6AC1641C" w14:textId="77777777" w:rsidR="00FE1748" w:rsidRDefault="00FE1748" w:rsidP="00FE1748">
      <w:pPr>
        <w:pStyle w:val="origin-typography"/>
        <w:spacing w:before="0" w:beforeAutospacing="0" w:after="0" w:afterAutospacing="0"/>
      </w:pPr>
    </w:p>
    <w:p w14:paraId="182A8315" w14:textId="77777777" w:rsidR="00FE1748" w:rsidRDefault="00FE1748" w:rsidP="00FE1748">
      <w:pPr>
        <w:pStyle w:val="origin-typography"/>
        <w:spacing w:before="0" w:beforeAutospacing="0" w:after="0" w:afterAutospacing="0"/>
      </w:pPr>
      <w:r>
        <w:t>The state should shift a greater share of its housing resources toward the production of affordable homes for sale. While targeted buyer assistance remains appropriate in certain cases, down payment assistance should not be relied upon as the primary response to the homeownership affordability crisis.</w:t>
      </w:r>
    </w:p>
    <w:p w14:paraId="31F3683D" w14:textId="77777777" w:rsidR="00FE1748" w:rsidRDefault="00FE1748" w:rsidP="00FE1748">
      <w:pPr>
        <w:pStyle w:val="origin-typography"/>
        <w:spacing w:before="0" w:beforeAutospacing="0" w:after="0" w:afterAutospacing="0"/>
      </w:pPr>
    </w:p>
    <w:p w14:paraId="61F2BB0F" w14:textId="77777777" w:rsidR="00FE1748" w:rsidRDefault="00FE1748" w:rsidP="00FE1748">
      <w:pPr>
        <w:pStyle w:val="origin-typography"/>
        <w:spacing w:before="0" w:beforeAutospacing="0" w:after="0" w:afterAutospacing="0"/>
      </w:pPr>
      <w:r>
        <w:t>A stronger policy approach would leverage public funding, vacant land, underused properties, nonprofit development capacity, and local housing plans to create affordable homes that working families can realistically purchase.</w:t>
      </w:r>
    </w:p>
    <w:p w14:paraId="37FF128E" w14:textId="77777777" w:rsidR="00FE1748" w:rsidRPr="00434A22" w:rsidRDefault="00FE1748" w:rsidP="00FE1748">
      <w:pPr>
        <w:pStyle w:val="origin-typography"/>
      </w:pPr>
      <w:r>
        <w:pict w14:anchorId="4A706C36">
          <v:rect id="_x0000_i1058" style="width:0;height:1.5pt" o:hralign="center" o:hrstd="t" o:hr="t" fillcolor="#a0a0a0" stroked="f"/>
        </w:pict>
      </w:r>
    </w:p>
    <w:p w14:paraId="4F779ED6" w14:textId="77777777" w:rsidR="00FE1748" w:rsidRPr="00434A22" w:rsidRDefault="00FE1748" w:rsidP="00FE1748">
      <w:pPr>
        <w:rPr>
          <w:rFonts w:ascii="Times New Roman" w:hAnsi="Times New Roman" w:cs="Times New Roman"/>
        </w:rPr>
      </w:pPr>
    </w:p>
    <w:p w14:paraId="3B155BFF" w14:textId="77777777" w:rsidR="00FE1748" w:rsidRDefault="00FE1748" w:rsidP="00FE1748">
      <w:pPr>
        <w:rPr>
          <w:rFonts w:ascii="Segoe UI Emoji" w:eastAsiaTheme="majorEastAsia" w:hAnsi="Segoe UI Emoji" w:cs="Segoe UI Emoji"/>
          <w:b/>
          <w:bCs/>
          <w:color w:val="B76E0B" w:themeColor="accent1" w:themeShade="BF"/>
          <w:sz w:val="28"/>
          <w:szCs w:val="28"/>
        </w:rPr>
      </w:pPr>
      <w:r>
        <w:rPr>
          <w:rFonts w:ascii="Segoe UI Emoji" w:hAnsi="Segoe UI Emoji" w:cs="Segoe UI Emoji"/>
          <w:b/>
          <w:bCs/>
        </w:rPr>
        <w:br w:type="page"/>
      </w:r>
    </w:p>
    <w:p w14:paraId="3D7720D3" w14:textId="77777777" w:rsidR="00FE1748" w:rsidRPr="00E354AD" w:rsidRDefault="00FE1748" w:rsidP="00FE1748">
      <w:pPr>
        <w:pStyle w:val="Heading2"/>
        <w:rPr>
          <w:rFonts w:ascii="Times New Roman" w:hAnsi="Times New Roman" w:cs="Times New Roman"/>
          <w:b w:val="0"/>
          <w:bCs/>
          <w:color w:val="F09415" w:themeColor="accent1"/>
          <w:sz w:val="36"/>
          <w:szCs w:val="36"/>
        </w:rPr>
      </w:pPr>
      <w:bookmarkStart w:id="55" w:name="_Toc240920531"/>
      <w:bookmarkStart w:id="56" w:name="_Toc240920762"/>
      <w:bookmarkStart w:id="57" w:name="_Toc240921628"/>
      <w:r w:rsidRPr="00E354AD">
        <w:rPr>
          <w:rFonts w:ascii="Segoe UI Emoji" w:hAnsi="Segoe UI Emoji" w:cs="Segoe UI Emoji"/>
          <w:bCs/>
          <w:color w:val="F09415" w:themeColor="accent1"/>
          <w:sz w:val="36"/>
          <w:szCs w:val="36"/>
        </w:rPr>
        <w:lastRenderedPageBreak/>
        <w:t>🟧</w:t>
      </w:r>
      <w:r w:rsidRPr="00E354AD">
        <w:rPr>
          <w:rFonts w:ascii="Times New Roman" w:hAnsi="Times New Roman" w:cs="Times New Roman"/>
          <w:bCs/>
          <w:color w:val="F09415" w:themeColor="accent1"/>
          <w:sz w:val="36"/>
          <w:szCs w:val="36"/>
        </w:rPr>
        <w:t xml:space="preserve"> Recommended Actions</w:t>
      </w:r>
      <w:bookmarkEnd w:id="55"/>
      <w:bookmarkEnd w:id="56"/>
      <w:bookmarkEnd w:id="57"/>
    </w:p>
    <w:p w14:paraId="1E331AAB" w14:textId="77777777" w:rsidR="00FE1748" w:rsidRPr="00434A22" w:rsidRDefault="00FE1748" w:rsidP="00FE1748">
      <w:pPr>
        <w:rPr>
          <w:rFonts w:ascii="Times New Roman" w:hAnsi="Times New Roman" w:cs="Times New Roman"/>
        </w:rPr>
      </w:pPr>
    </w:p>
    <w:p w14:paraId="2992C7B2" w14:textId="77777777" w:rsidR="00FE1748" w:rsidRPr="00434A22" w:rsidRDefault="00FE1748" w:rsidP="00FE1748">
      <w:pPr>
        <w:pStyle w:val="Heading3"/>
        <w:rPr>
          <w:rFonts w:ascii="Times New Roman" w:hAnsi="Times New Roman" w:cs="Times New Roman"/>
        </w:rPr>
      </w:pPr>
      <w:bookmarkStart w:id="58" w:name="_Toc240920532"/>
      <w:r w:rsidRPr="0045423B">
        <w:rPr>
          <w:rFonts w:ascii="Times New Roman" w:hAnsi="Times New Roman" w:cs="Times New Roman"/>
          <w:b/>
          <w:bCs/>
        </w:rPr>
        <w:t>1.</w:t>
      </w:r>
      <w:r w:rsidRPr="00434A22">
        <w:rPr>
          <w:rFonts w:ascii="Times New Roman" w:hAnsi="Times New Roman" w:cs="Times New Roman"/>
        </w:rPr>
        <w:t xml:space="preserve"> </w:t>
      </w:r>
      <w:r w:rsidRPr="00AE1AA2">
        <w:rPr>
          <w:rFonts w:ascii="Times New Roman" w:hAnsi="Times New Roman" w:cs="Times New Roman"/>
          <w:b/>
          <w:bCs/>
        </w:rPr>
        <w:t>Increase investment in affordable homes for sale</w:t>
      </w:r>
      <w:bookmarkEnd w:id="58"/>
    </w:p>
    <w:p w14:paraId="7F03CCA1" w14:textId="77777777" w:rsidR="00FE1748" w:rsidRPr="00434A22" w:rsidRDefault="00FE1748" w:rsidP="00FE1748">
      <w:pPr>
        <w:pStyle w:val="origin-typography"/>
      </w:pPr>
      <w:r w:rsidRPr="00434A22">
        <w:t>New Jersey should dedicate more housing resources to producing affordable ownership units, especially for households below 80% of area median income.</w:t>
      </w:r>
    </w:p>
    <w:p w14:paraId="4FCE3BF1" w14:textId="77777777" w:rsidR="00FE1748" w:rsidRPr="00434A22" w:rsidRDefault="00FE1748" w:rsidP="00FE1748">
      <w:pPr>
        <w:pStyle w:val="Heading3"/>
        <w:rPr>
          <w:rFonts w:ascii="Times New Roman" w:hAnsi="Times New Roman" w:cs="Times New Roman"/>
        </w:rPr>
      </w:pPr>
      <w:bookmarkStart w:id="59" w:name="_Toc240920533"/>
      <w:r w:rsidRPr="0045423B">
        <w:rPr>
          <w:rFonts w:ascii="Times New Roman" w:hAnsi="Times New Roman" w:cs="Times New Roman"/>
          <w:b/>
          <w:bCs/>
        </w:rPr>
        <w:t>2.</w:t>
      </w:r>
      <w:r w:rsidRPr="00434A22">
        <w:rPr>
          <w:rFonts w:ascii="Times New Roman" w:hAnsi="Times New Roman" w:cs="Times New Roman"/>
        </w:rPr>
        <w:t xml:space="preserve"> </w:t>
      </w:r>
      <w:r w:rsidRPr="00AE1AA2">
        <w:rPr>
          <w:rFonts w:ascii="Times New Roman" w:hAnsi="Times New Roman" w:cs="Times New Roman"/>
          <w:b/>
          <w:bCs/>
        </w:rPr>
        <w:t>Prioritize vacant and underused land</w:t>
      </w:r>
      <w:bookmarkEnd w:id="59"/>
    </w:p>
    <w:p w14:paraId="35DE6557" w14:textId="77777777" w:rsidR="00FE1748" w:rsidRPr="00434A22" w:rsidRDefault="00FE1748" w:rsidP="00FE1748">
      <w:pPr>
        <w:pStyle w:val="origin-typography"/>
      </w:pPr>
      <w:r w:rsidRPr="00434A22">
        <w:t>State, county, municipal, and nonprofit partners should identify vacant lots, abandoned properties, public land, and underused parcels that can support affordable homeownership development.</w:t>
      </w:r>
    </w:p>
    <w:p w14:paraId="2FE29DD0" w14:textId="77777777" w:rsidR="00FE1748" w:rsidRPr="00AE1AA2" w:rsidRDefault="00FE1748" w:rsidP="00FE1748">
      <w:pPr>
        <w:pStyle w:val="Heading3"/>
        <w:rPr>
          <w:rFonts w:ascii="Times New Roman" w:hAnsi="Times New Roman" w:cs="Times New Roman"/>
          <w:b/>
          <w:bCs/>
        </w:rPr>
      </w:pPr>
      <w:bookmarkStart w:id="60" w:name="_Toc240920534"/>
      <w:r w:rsidRPr="0045423B">
        <w:rPr>
          <w:rFonts w:ascii="Times New Roman" w:hAnsi="Times New Roman" w:cs="Times New Roman"/>
          <w:b/>
          <w:bCs/>
        </w:rPr>
        <w:t>3.</w:t>
      </w:r>
      <w:r w:rsidRPr="00434A22">
        <w:rPr>
          <w:rFonts w:ascii="Times New Roman" w:hAnsi="Times New Roman" w:cs="Times New Roman"/>
        </w:rPr>
        <w:t xml:space="preserve"> </w:t>
      </w:r>
      <w:r w:rsidRPr="00AE1AA2">
        <w:rPr>
          <w:rFonts w:ascii="Times New Roman" w:hAnsi="Times New Roman" w:cs="Times New Roman"/>
          <w:b/>
          <w:bCs/>
        </w:rPr>
        <w:t>Rebalance subsidies between rental and ownership production</w:t>
      </w:r>
      <w:bookmarkEnd w:id="60"/>
    </w:p>
    <w:p w14:paraId="23CCFAEC" w14:textId="77777777" w:rsidR="00FE1748" w:rsidRPr="00434A22" w:rsidRDefault="00FE1748" w:rsidP="00FE1748">
      <w:pPr>
        <w:pStyle w:val="origin-typography"/>
      </w:pPr>
      <w:r w:rsidRPr="00434A22">
        <w:t>Rental housing should remain part of the state’s housing strategy, but ownership production should receive stronger support so families can build equity and remain rooted in their communities.</w:t>
      </w:r>
    </w:p>
    <w:p w14:paraId="09C2F8B8" w14:textId="77777777" w:rsidR="00FE1748" w:rsidRPr="00434A22" w:rsidRDefault="00FE1748" w:rsidP="00FE1748">
      <w:pPr>
        <w:pStyle w:val="Heading3"/>
        <w:rPr>
          <w:rFonts w:ascii="Times New Roman" w:hAnsi="Times New Roman" w:cs="Times New Roman"/>
        </w:rPr>
      </w:pPr>
      <w:bookmarkStart w:id="61" w:name="_Toc240920535"/>
      <w:r w:rsidRPr="0045423B">
        <w:rPr>
          <w:rFonts w:ascii="Times New Roman" w:hAnsi="Times New Roman" w:cs="Times New Roman"/>
          <w:b/>
          <w:bCs/>
        </w:rPr>
        <w:t>4.</w:t>
      </w:r>
      <w:r w:rsidRPr="00434A22">
        <w:rPr>
          <w:rFonts w:ascii="Times New Roman" w:hAnsi="Times New Roman" w:cs="Times New Roman"/>
        </w:rPr>
        <w:t xml:space="preserve"> </w:t>
      </w:r>
      <w:r w:rsidRPr="0045423B">
        <w:rPr>
          <w:rFonts w:ascii="Times New Roman" w:hAnsi="Times New Roman" w:cs="Times New Roman"/>
          <w:b/>
          <w:bCs/>
        </w:rPr>
        <w:t>Strengthen Mount Laurel implementation</w:t>
      </w:r>
      <w:bookmarkEnd w:id="61"/>
    </w:p>
    <w:p w14:paraId="17CC5B2D" w14:textId="77777777" w:rsidR="00FE1748" w:rsidRPr="00434A22" w:rsidRDefault="00FE1748" w:rsidP="00FE1748">
      <w:pPr>
        <w:pStyle w:val="origin-typography"/>
      </w:pPr>
      <w:r w:rsidRPr="00434A22">
        <w:t>Mount Laurel compliance should support both affordable rental housing and affordable homeownership. Local fair share plans should include ownership strategies where feasible.</w:t>
      </w:r>
    </w:p>
    <w:p w14:paraId="15D286E5" w14:textId="77777777" w:rsidR="00FE1748" w:rsidRPr="00434A22" w:rsidRDefault="00FE1748" w:rsidP="00FE1748">
      <w:pPr>
        <w:pStyle w:val="Heading3"/>
        <w:rPr>
          <w:rFonts w:ascii="Times New Roman" w:hAnsi="Times New Roman" w:cs="Times New Roman"/>
        </w:rPr>
      </w:pPr>
      <w:bookmarkStart w:id="62" w:name="_Toc240920536"/>
      <w:r w:rsidRPr="0045423B">
        <w:rPr>
          <w:rFonts w:ascii="Times New Roman" w:hAnsi="Times New Roman" w:cs="Times New Roman"/>
          <w:b/>
          <w:bCs/>
        </w:rPr>
        <w:t>5.</w:t>
      </w:r>
      <w:r w:rsidRPr="00434A22">
        <w:rPr>
          <w:rFonts w:ascii="Times New Roman" w:hAnsi="Times New Roman" w:cs="Times New Roman"/>
        </w:rPr>
        <w:t xml:space="preserve"> </w:t>
      </w:r>
      <w:r w:rsidRPr="0045423B">
        <w:rPr>
          <w:rFonts w:ascii="Times New Roman" w:hAnsi="Times New Roman" w:cs="Times New Roman"/>
          <w:b/>
          <w:bCs/>
        </w:rPr>
        <w:t>Use shared equity and long-term affordability models</w:t>
      </w:r>
      <w:bookmarkEnd w:id="62"/>
    </w:p>
    <w:p w14:paraId="488DC5D9" w14:textId="77777777" w:rsidR="00FE1748" w:rsidRPr="00434A22" w:rsidRDefault="00FE1748" w:rsidP="00FE1748">
      <w:pPr>
        <w:pStyle w:val="origin-typography"/>
      </w:pPr>
      <w:r w:rsidRPr="00434A22">
        <w:t>Shared</w:t>
      </w:r>
      <w:r>
        <w:t xml:space="preserve"> </w:t>
      </w:r>
      <w:r w:rsidRPr="00434A22">
        <w:t>equity models can preserve affordability across multiple buyers while still allowing families to build wealth.</w:t>
      </w:r>
      <w:r>
        <w:rPr>
          <w:rStyle w:val="FootnoteReference"/>
        </w:rPr>
        <w:footnoteReference w:id="18"/>
      </w:r>
    </w:p>
    <w:p w14:paraId="01EBFAB1" w14:textId="77777777" w:rsidR="00FE1748" w:rsidRPr="00434A22" w:rsidRDefault="00FE1748" w:rsidP="00FE1748">
      <w:pPr>
        <w:pStyle w:val="Heading3"/>
        <w:rPr>
          <w:rFonts w:ascii="Times New Roman" w:hAnsi="Times New Roman" w:cs="Times New Roman"/>
        </w:rPr>
      </w:pPr>
      <w:bookmarkStart w:id="63" w:name="_Toc240920537"/>
      <w:r w:rsidRPr="0045423B">
        <w:rPr>
          <w:rFonts w:ascii="Times New Roman" w:hAnsi="Times New Roman" w:cs="Times New Roman"/>
          <w:b/>
          <w:bCs/>
        </w:rPr>
        <w:t>6.</w:t>
      </w:r>
      <w:r w:rsidRPr="00434A22">
        <w:rPr>
          <w:rFonts w:ascii="Times New Roman" w:hAnsi="Times New Roman" w:cs="Times New Roman"/>
        </w:rPr>
        <w:t xml:space="preserve"> </w:t>
      </w:r>
      <w:r w:rsidRPr="0045423B">
        <w:rPr>
          <w:rFonts w:ascii="Times New Roman" w:hAnsi="Times New Roman" w:cs="Times New Roman"/>
          <w:b/>
          <w:bCs/>
        </w:rPr>
        <w:t>Target assistance to households with the greatest need</w:t>
      </w:r>
      <w:bookmarkEnd w:id="63"/>
    </w:p>
    <w:p w14:paraId="54FCF825" w14:textId="77777777" w:rsidR="00FE1748" w:rsidRPr="00434A22" w:rsidRDefault="00FE1748" w:rsidP="00FE1748">
      <w:pPr>
        <w:pStyle w:val="origin-typography"/>
      </w:pPr>
      <w:r w:rsidRPr="00434A22">
        <w:t>Public resources should focus on households that cannot access ownership without deeper affordability, not only on buyers who are already close to qualifying for market-rate homes.</w:t>
      </w:r>
    </w:p>
    <w:p w14:paraId="07C884DB" w14:textId="77777777" w:rsidR="00FE1748" w:rsidRPr="00434A22" w:rsidRDefault="00FE1748" w:rsidP="00FE1748">
      <w:pPr>
        <w:rPr>
          <w:rFonts w:ascii="Times New Roman" w:hAnsi="Times New Roman" w:cs="Times New Roman"/>
        </w:rPr>
      </w:pPr>
      <w:r>
        <w:rPr>
          <w:rFonts w:ascii="Times New Roman" w:hAnsi="Times New Roman" w:cs="Times New Roman"/>
        </w:rPr>
        <w:pict w14:anchorId="55F42583">
          <v:rect id="_x0000_i1059" style="width:0;height:1.5pt" o:hralign="center" o:hrstd="t" o:hr="t" fillcolor="#a0a0a0" stroked="f"/>
        </w:pict>
      </w:r>
    </w:p>
    <w:p w14:paraId="329D6EC5" w14:textId="77777777" w:rsidR="00FE1748" w:rsidRPr="00434A22" w:rsidRDefault="00FE1748" w:rsidP="00FE1748">
      <w:pPr>
        <w:rPr>
          <w:rFonts w:ascii="Times New Roman" w:eastAsiaTheme="majorEastAsia" w:hAnsi="Times New Roman" w:cs="Times New Roman"/>
          <w:b/>
          <w:bCs/>
          <w:color w:val="B76E0B" w:themeColor="accent1" w:themeShade="BF"/>
          <w:sz w:val="36"/>
          <w:szCs w:val="36"/>
        </w:rPr>
      </w:pPr>
      <w:r w:rsidRPr="00434A22">
        <w:rPr>
          <w:rFonts w:ascii="Times New Roman" w:hAnsi="Times New Roman" w:cs="Times New Roman"/>
          <w:b/>
          <w:bCs/>
        </w:rPr>
        <w:br w:type="page"/>
      </w:r>
    </w:p>
    <w:p w14:paraId="5CAF51A8" w14:textId="77777777" w:rsidR="00FE1748" w:rsidRPr="001C2A6B" w:rsidRDefault="00FE1748" w:rsidP="00FE1748">
      <w:pPr>
        <w:pStyle w:val="Heading1"/>
        <w:rPr>
          <w:rFonts w:ascii="Times New Roman" w:hAnsi="Times New Roman" w:cs="Times New Roman"/>
          <w:b w:val="0"/>
          <w:bCs/>
          <w:color w:val="000000" w:themeColor="text1"/>
        </w:rPr>
      </w:pPr>
      <w:bookmarkStart w:id="64" w:name="_Toc240920538"/>
      <w:bookmarkStart w:id="65" w:name="_Toc240920763"/>
      <w:bookmarkStart w:id="66" w:name="_Toc240921629"/>
      <w:r w:rsidRPr="001C2A6B">
        <w:rPr>
          <w:rFonts w:ascii="Segoe UI Emoji" w:hAnsi="Segoe UI Emoji" w:cs="Segoe UI Emoji"/>
          <w:bCs/>
          <w:color w:val="000000" w:themeColor="text1"/>
        </w:rPr>
        <w:lastRenderedPageBreak/>
        <w:t>🟧</w:t>
      </w:r>
      <w:r w:rsidRPr="001C2A6B">
        <w:rPr>
          <w:rFonts w:ascii="Times New Roman" w:hAnsi="Times New Roman" w:cs="Times New Roman"/>
          <w:bCs/>
          <w:color w:val="000000" w:themeColor="text1"/>
        </w:rPr>
        <w:t xml:space="preserve"> Implementation Framework</w:t>
      </w:r>
      <w:bookmarkEnd w:id="64"/>
      <w:bookmarkEnd w:id="65"/>
      <w:bookmarkEnd w:id="66"/>
    </w:p>
    <w:p w14:paraId="4CDC8EEB" w14:textId="77777777" w:rsidR="00FE1748" w:rsidRPr="00434A22" w:rsidRDefault="00FE1748" w:rsidP="00FE1748">
      <w:pPr>
        <w:rPr>
          <w:rFonts w:ascii="Times New Roman" w:hAnsi="Times New Roman" w:cs="Times New Roman"/>
        </w:rPr>
      </w:pPr>
    </w:p>
    <w:p w14:paraId="4463B4FF" w14:textId="77777777" w:rsidR="00FE1748" w:rsidRPr="00434A22" w:rsidRDefault="00FE1748" w:rsidP="00FE1748">
      <w:pPr>
        <w:pStyle w:val="Heading3"/>
        <w:rPr>
          <w:rFonts w:ascii="Times New Roman" w:hAnsi="Times New Roman" w:cs="Times New Roman"/>
          <w:b/>
          <w:bCs/>
        </w:rPr>
      </w:pPr>
      <w:bookmarkStart w:id="67" w:name="_Toc240920539"/>
      <w:r w:rsidRPr="00434A22">
        <w:rPr>
          <w:rFonts w:ascii="Segoe UI Emoji" w:hAnsi="Segoe UI Emoji" w:cs="Segoe UI Emoji"/>
        </w:rPr>
        <w:t>🟧</w:t>
      </w:r>
      <w:r w:rsidRPr="00434A22">
        <w:rPr>
          <w:rFonts w:ascii="Times New Roman" w:hAnsi="Times New Roman" w:cs="Times New Roman"/>
        </w:rPr>
        <w:t xml:space="preserve"> </w:t>
      </w:r>
      <w:r w:rsidRPr="00434A22">
        <w:rPr>
          <w:rFonts w:ascii="Times New Roman" w:hAnsi="Times New Roman" w:cs="Times New Roman"/>
          <w:b/>
          <w:bCs/>
        </w:rPr>
        <w:t>Exhibit 10. Practical Tools for Affordable Homeownership Production</w:t>
      </w:r>
      <w:bookmarkEnd w:id="67"/>
    </w:p>
    <w:p w14:paraId="40237C7E" w14:textId="77777777" w:rsidR="00FE1748" w:rsidRPr="00434A22" w:rsidRDefault="00FE1748" w:rsidP="00FE1748">
      <w:pPr>
        <w:rPr>
          <w:rFonts w:ascii="Times New Roman" w:hAnsi="Times New Roman" w:cs="Times New Roman"/>
        </w:rPr>
      </w:pPr>
    </w:p>
    <w:tbl>
      <w:tblPr>
        <w:tblStyle w:val="ListTable7Colorful-Accent1"/>
        <w:tblW w:w="9422" w:type="dxa"/>
        <w:tblLook w:val="04A0" w:firstRow="1" w:lastRow="0" w:firstColumn="1" w:lastColumn="0" w:noHBand="0" w:noVBand="1"/>
      </w:tblPr>
      <w:tblGrid>
        <w:gridCol w:w="2886"/>
        <w:gridCol w:w="2617"/>
        <w:gridCol w:w="3919"/>
      </w:tblGrid>
      <w:tr w:rsidR="00FE1748" w:rsidRPr="00434A22" w14:paraId="429D80C8" w14:textId="77777777" w:rsidTr="005E5873">
        <w:trPr>
          <w:cnfStyle w:val="100000000000" w:firstRow="1" w:lastRow="0" w:firstColumn="0" w:lastColumn="0" w:oddVBand="0" w:evenVBand="0" w:oddHBand="0" w:evenHBand="0" w:firstRowFirstColumn="0" w:firstRowLastColumn="0" w:lastRowFirstColumn="0" w:lastRowLastColumn="0"/>
          <w:trHeight w:val="417"/>
        </w:trPr>
        <w:tc>
          <w:tcPr>
            <w:cnfStyle w:val="001000000100" w:firstRow="0" w:lastRow="0" w:firstColumn="1" w:lastColumn="0" w:oddVBand="0" w:evenVBand="0" w:oddHBand="0" w:evenHBand="0" w:firstRowFirstColumn="1" w:firstRowLastColumn="0" w:lastRowFirstColumn="0" w:lastRowLastColumn="0"/>
            <w:tcW w:w="0" w:type="auto"/>
            <w:hideMark/>
          </w:tcPr>
          <w:p w14:paraId="2C6BD028" w14:textId="77777777" w:rsidR="00FE1748" w:rsidRPr="00434A22" w:rsidRDefault="00FE1748" w:rsidP="005E5873">
            <w:pPr>
              <w:jc w:val="center"/>
              <w:rPr>
                <w:rFonts w:ascii="Times New Roman" w:hAnsi="Times New Roman" w:cs="Times New Roman"/>
                <w:b/>
                <w:bCs/>
              </w:rPr>
            </w:pPr>
            <w:r w:rsidRPr="00434A22">
              <w:rPr>
                <w:rFonts w:ascii="Times New Roman" w:hAnsi="Times New Roman" w:cs="Times New Roman"/>
                <w:b/>
                <w:bCs/>
              </w:rPr>
              <w:t>Policy Tool</w:t>
            </w:r>
          </w:p>
        </w:tc>
        <w:tc>
          <w:tcPr>
            <w:tcW w:w="0" w:type="auto"/>
            <w:hideMark/>
          </w:tcPr>
          <w:p w14:paraId="3F1D54F7" w14:textId="77777777" w:rsidR="00FE1748" w:rsidRPr="00434A22" w:rsidRDefault="00FE1748" w:rsidP="005E58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Purpose</w:t>
            </w:r>
          </w:p>
        </w:tc>
        <w:tc>
          <w:tcPr>
            <w:tcW w:w="0" w:type="auto"/>
            <w:hideMark/>
          </w:tcPr>
          <w:p w14:paraId="635157AD" w14:textId="77777777" w:rsidR="00FE1748" w:rsidRPr="00434A22" w:rsidRDefault="00FE1748" w:rsidP="005E58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34A22">
              <w:rPr>
                <w:rFonts w:ascii="Times New Roman" w:hAnsi="Times New Roman" w:cs="Times New Roman"/>
                <w:b/>
                <w:bCs/>
              </w:rPr>
              <w:t>Expected Result</w:t>
            </w:r>
          </w:p>
        </w:tc>
      </w:tr>
      <w:tr w:rsidR="00FE1748" w:rsidRPr="00434A22" w14:paraId="21DC0198" w14:textId="77777777" w:rsidTr="005E5873">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0" w:type="auto"/>
            <w:hideMark/>
          </w:tcPr>
          <w:p w14:paraId="2F6258F1"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Dedicated ownership production fund</w:t>
            </w:r>
          </w:p>
        </w:tc>
        <w:tc>
          <w:tcPr>
            <w:tcW w:w="0" w:type="auto"/>
            <w:hideMark/>
          </w:tcPr>
          <w:p w14:paraId="6AFAD8AF" w14:textId="77777777" w:rsidR="00FE1748" w:rsidRPr="00747095" w:rsidRDefault="00FE1748" w:rsidP="005E58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Finance new affordable homes for sale</w:t>
            </w:r>
          </w:p>
        </w:tc>
        <w:tc>
          <w:tcPr>
            <w:tcW w:w="0" w:type="auto"/>
            <w:hideMark/>
          </w:tcPr>
          <w:p w14:paraId="3457A830" w14:textId="77777777" w:rsidR="00FE1748" w:rsidRPr="00747095" w:rsidRDefault="00FE1748" w:rsidP="005E58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More units available to income-qualified buyers</w:t>
            </w:r>
          </w:p>
        </w:tc>
      </w:tr>
      <w:tr w:rsidR="00FE1748" w:rsidRPr="00434A22" w14:paraId="68DB1194" w14:textId="77777777" w:rsidTr="005E5873">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1035FAFD"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Public land strategy</w:t>
            </w:r>
          </w:p>
        </w:tc>
        <w:tc>
          <w:tcPr>
            <w:tcW w:w="0" w:type="auto"/>
            <w:hideMark/>
          </w:tcPr>
          <w:p w14:paraId="01EA7C6D" w14:textId="77777777" w:rsidR="00FE1748" w:rsidRPr="00747095" w:rsidRDefault="00FE1748" w:rsidP="005E58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Reduce land costs</w:t>
            </w:r>
          </w:p>
        </w:tc>
        <w:tc>
          <w:tcPr>
            <w:tcW w:w="0" w:type="auto"/>
            <w:hideMark/>
          </w:tcPr>
          <w:p w14:paraId="1BB42423" w14:textId="77777777" w:rsidR="00FE1748" w:rsidRPr="00747095" w:rsidRDefault="00FE1748" w:rsidP="005E58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Lower total development cost</w:t>
            </w:r>
          </w:p>
        </w:tc>
      </w:tr>
      <w:tr w:rsidR="00FE1748" w:rsidRPr="00434A22" w14:paraId="3546221D" w14:textId="77777777" w:rsidTr="005E5873">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0" w:type="auto"/>
            <w:hideMark/>
          </w:tcPr>
          <w:p w14:paraId="373E5AD2"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Nonprofit development support</w:t>
            </w:r>
          </w:p>
        </w:tc>
        <w:tc>
          <w:tcPr>
            <w:tcW w:w="0" w:type="auto"/>
            <w:hideMark/>
          </w:tcPr>
          <w:p w14:paraId="6E2EEE06" w14:textId="77777777" w:rsidR="00FE1748" w:rsidRPr="00747095" w:rsidRDefault="00FE1748" w:rsidP="005E58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Build mission-driven capacity</w:t>
            </w:r>
          </w:p>
        </w:tc>
        <w:tc>
          <w:tcPr>
            <w:tcW w:w="0" w:type="auto"/>
            <w:hideMark/>
          </w:tcPr>
          <w:p w14:paraId="196E3DD0" w14:textId="77777777" w:rsidR="00FE1748" w:rsidRPr="00747095" w:rsidRDefault="00FE1748" w:rsidP="005E58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Stronger affordable ownership pipeline</w:t>
            </w:r>
          </w:p>
        </w:tc>
      </w:tr>
      <w:tr w:rsidR="00FE1748" w:rsidRPr="00434A22" w14:paraId="44A1A946" w14:textId="77777777" w:rsidTr="005E5873">
        <w:trPr>
          <w:trHeight w:val="855"/>
        </w:trPr>
        <w:tc>
          <w:tcPr>
            <w:cnfStyle w:val="001000000000" w:firstRow="0" w:lastRow="0" w:firstColumn="1" w:lastColumn="0" w:oddVBand="0" w:evenVBand="0" w:oddHBand="0" w:evenHBand="0" w:firstRowFirstColumn="0" w:firstRowLastColumn="0" w:lastRowFirstColumn="0" w:lastRowLastColumn="0"/>
            <w:tcW w:w="0" w:type="auto"/>
            <w:hideMark/>
          </w:tcPr>
          <w:p w14:paraId="5E978C4C"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Local inclusionary ownership requirements</w:t>
            </w:r>
          </w:p>
        </w:tc>
        <w:tc>
          <w:tcPr>
            <w:tcW w:w="0" w:type="auto"/>
            <w:hideMark/>
          </w:tcPr>
          <w:p w14:paraId="76EE30AC" w14:textId="77777777" w:rsidR="00FE1748" w:rsidRPr="00747095" w:rsidRDefault="00FE1748" w:rsidP="005E58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Include homes for sale in local plans</w:t>
            </w:r>
          </w:p>
        </w:tc>
        <w:tc>
          <w:tcPr>
            <w:tcW w:w="0" w:type="auto"/>
            <w:hideMark/>
          </w:tcPr>
          <w:p w14:paraId="2ACE3A5C" w14:textId="77777777" w:rsidR="00FE1748" w:rsidRPr="00747095" w:rsidRDefault="00FE1748" w:rsidP="005E58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More mixed-income ownership opportunities</w:t>
            </w:r>
          </w:p>
        </w:tc>
      </w:tr>
      <w:tr w:rsidR="00FE1748" w:rsidRPr="00434A22" w14:paraId="25A0A45C" w14:textId="77777777" w:rsidTr="005E5873">
        <w:trPr>
          <w:cnfStyle w:val="000000100000" w:firstRow="0" w:lastRow="0" w:firstColumn="0" w:lastColumn="0" w:oddVBand="0" w:evenVBand="0" w:oddHBand="1"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0" w:type="auto"/>
            <w:hideMark/>
          </w:tcPr>
          <w:p w14:paraId="08E7B1B5"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Shared</w:t>
            </w:r>
            <w:r>
              <w:rPr>
                <w:rFonts w:ascii="Times New Roman" w:hAnsi="Times New Roman" w:cs="Times New Roman"/>
              </w:rPr>
              <w:t xml:space="preserve"> </w:t>
            </w:r>
            <w:r w:rsidRPr="00434A22">
              <w:rPr>
                <w:rFonts w:ascii="Times New Roman" w:hAnsi="Times New Roman" w:cs="Times New Roman"/>
              </w:rPr>
              <w:t>equity models</w:t>
            </w:r>
          </w:p>
        </w:tc>
        <w:tc>
          <w:tcPr>
            <w:tcW w:w="0" w:type="auto"/>
            <w:hideMark/>
          </w:tcPr>
          <w:p w14:paraId="3B9926F9" w14:textId="77777777" w:rsidR="00FE1748" w:rsidRPr="00747095" w:rsidRDefault="00FE1748" w:rsidP="005E58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Preserve long-term affordability</w:t>
            </w:r>
          </w:p>
        </w:tc>
        <w:tc>
          <w:tcPr>
            <w:tcW w:w="0" w:type="auto"/>
            <w:hideMark/>
          </w:tcPr>
          <w:p w14:paraId="7D78FD76" w14:textId="77777777" w:rsidR="00FE1748" w:rsidRPr="00747095" w:rsidRDefault="00FE1748" w:rsidP="005E58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Public subsidy benefits multiple buyers over time</w:t>
            </w:r>
          </w:p>
        </w:tc>
      </w:tr>
      <w:tr w:rsidR="00FE1748" w:rsidRPr="00434A22" w14:paraId="7335FC1C" w14:textId="77777777" w:rsidTr="005E5873">
        <w:trPr>
          <w:trHeight w:val="703"/>
        </w:trPr>
        <w:tc>
          <w:tcPr>
            <w:cnfStyle w:val="001000000000" w:firstRow="0" w:lastRow="0" w:firstColumn="1" w:lastColumn="0" w:oddVBand="0" w:evenVBand="0" w:oddHBand="0" w:evenHBand="0" w:firstRowFirstColumn="0" w:firstRowLastColumn="0" w:lastRowFirstColumn="0" w:lastRowLastColumn="0"/>
            <w:tcW w:w="0" w:type="auto"/>
            <w:hideMark/>
          </w:tcPr>
          <w:p w14:paraId="1ECE2714" w14:textId="77777777" w:rsidR="00FE1748" w:rsidRPr="00434A22" w:rsidRDefault="00FE1748" w:rsidP="005E5873">
            <w:pPr>
              <w:rPr>
                <w:rFonts w:ascii="Times New Roman" w:hAnsi="Times New Roman" w:cs="Times New Roman"/>
              </w:rPr>
            </w:pPr>
            <w:r w:rsidRPr="00434A22">
              <w:rPr>
                <w:rFonts w:ascii="Times New Roman" w:hAnsi="Times New Roman" w:cs="Times New Roman"/>
              </w:rPr>
              <w:t>Targeted buyer support</w:t>
            </w:r>
          </w:p>
        </w:tc>
        <w:tc>
          <w:tcPr>
            <w:tcW w:w="0" w:type="auto"/>
            <w:hideMark/>
          </w:tcPr>
          <w:p w14:paraId="65BDF2F2" w14:textId="77777777" w:rsidR="00FE1748" w:rsidRPr="00747095" w:rsidRDefault="00FE1748" w:rsidP="005E58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Help income-qualified buyers close</w:t>
            </w:r>
          </w:p>
        </w:tc>
        <w:tc>
          <w:tcPr>
            <w:tcW w:w="0" w:type="auto"/>
            <w:hideMark/>
          </w:tcPr>
          <w:p w14:paraId="431E0F19" w14:textId="77777777" w:rsidR="00FE1748" w:rsidRPr="00747095" w:rsidRDefault="00FE1748" w:rsidP="005E58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747095">
              <w:rPr>
                <w:rFonts w:ascii="Times New Roman" w:hAnsi="Times New Roman" w:cs="Times New Roman"/>
                <w:szCs w:val="22"/>
              </w:rPr>
              <w:t>Assistance supports production instead of scarce-market bidding</w:t>
            </w:r>
          </w:p>
        </w:tc>
      </w:tr>
    </w:tbl>
    <w:p w14:paraId="7915A9B1" w14:textId="77777777" w:rsidR="00FE1748" w:rsidRPr="00434A22" w:rsidRDefault="00FE1748" w:rsidP="00FE1748">
      <w:pPr>
        <w:rPr>
          <w:rFonts w:ascii="Times New Roman" w:hAnsi="Times New Roman" w:cs="Times New Roman"/>
        </w:rPr>
      </w:pPr>
      <w:r>
        <w:rPr>
          <w:rFonts w:ascii="Times New Roman" w:hAnsi="Times New Roman" w:cs="Times New Roman"/>
        </w:rPr>
        <w:pict w14:anchorId="125000E3">
          <v:rect id="_x0000_i1060" style="width:0;height:1.5pt" o:hralign="center" o:hrstd="t" o:hr="t" fillcolor="#a0a0a0" stroked="f"/>
        </w:pict>
      </w:r>
    </w:p>
    <w:p w14:paraId="4F1BDE51" w14:textId="77777777" w:rsidR="00FE1748" w:rsidRDefault="00FE1748" w:rsidP="00FE1748">
      <w:pPr>
        <w:spacing w:after="0"/>
        <w:rPr>
          <w:rFonts w:ascii="Times New Roman" w:eastAsia="Times New Roman" w:hAnsi="Times New Roman" w:cs="Times New Roman"/>
          <w:sz w:val="24"/>
          <w:szCs w:val="24"/>
        </w:rPr>
      </w:pPr>
    </w:p>
    <w:p w14:paraId="7B2C9C5E" w14:textId="77777777" w:rsidR="00FE1748" w:rsidRDefault="00FE1748" w:rsidP="00FE1748">
      <w:pPr>
        <w:spacing w:after="0"/>
        <w:rPr>
          <w:rFonts w:ascii="Times New Roman" w:eastAsia="Times New Roman" w:hAnsi="Times New Roman" w:cs="Times New Roman"/>
          <w:sz w:val="24"/>
          <w:szCs w:val="24"/>
        </w:rPr>
      </w:pPr>
      <w:r w:rsidRPr="0042386F">
        <w:rPr>
          <w:rFonts w:ascii="Times New Roman" w:eastAsia="Times New Roman" w:hAnsi="Times New Roman" w:cs="Times New Roman"/>
          <w:sz w:val="24"/>
          <w:szCs w:val="24"/>
        </w:rPr>
        <w:t>New Jersey should move from helping a limited number of buyers compete for expensive existing homes to producing more affordable homes that expand ownership, build wealth, and stabilize communities.</w:t>
      </w:r>
    </w:p>
    <w:p w14:paraId="7977C545" w14:textId="77777777" w:rsidR="00FE1748" w:rsidRPr="0042386F" w:rsidRDefault="00FE1748" w:rsidP="00FE1748">
      <w:pPr>
        <w:spacing w:after="0"/>
        <w:rPr>
          <w:rFonts w:ascii="Times New Roman" w:eastAsia="Times New Roman" w:hAnsi="Times New Roman" w:cs="Times New Roman"/>
          <w:sz w:val="24"/>
          <w:szCs w:val="24"/>
        </w:rPr>
      </w:pPr>
    </w:p>
    <w:p w14:paraId="02D7E37A" w14:textId="77777777" w:rsidR="00FE1748" w:rsidRDefault="00FE1748" w:rsidP="00FE1748">
      <w:pPr>
        <w:spacing w:after="0"/>
        <w:rPr>
          <w:rFonts w:ascii="Times New Roman" w:eastAsia="Times New Roman" w:hAnsi="Times New Roman" w:cs="Times New Roman"/>
          <w:sz w:val="24"/>
          <w:szCs w:val="24"/>
        </w:rPr>
      </w:pPr>
      <w:r w:rsidRPr="0042386F">
        <w:rPr>
          <w:rFonts w:ascii="Times New Roman" w:eastAsia="Times New Roman" w:hAnsi="Times New Roman" w:cs="Times New Roman"/>
          <w:sz w:val="24"/>
          <w:szCs w:val="24"/>
        </w:rPr>
        <w:t>Our first key finding shows that down payment assistance yields an approximate monthly payment impact of only $96.89 in the county examples reviewed. This monthly change is evidently insufficient to overcome affordability gaps exceeding $100,000 in counties such as Hudson, Essex, Passaic, and Bergen.</w:t>
      </w:r>
    </w:p>
    <w:p w14:paraId="2F3E7917" w14:textId="77777777" w:rsidR="00FE1748" w:rsidRDefault="00FE1748" w:rsidP="00FE1748">
      <w:pPr>
        <w:spacing w:after="0"/>
        <w:rPr>
          <w:rFonts w:ascii="Times New Roman" w:eastAsia="Times New Roman" w:hAnsi="Times New Roman" w:cs="Times New Roman"/>
          <w:sz w:val="24"/>
          <w:szCs w:val="24"/>
        </w:rPr>
      </w:pPr>
    </w:p>
    <w:p w14:paraId="0AB842EC" w14:textId="77777777" w:rsidR="00FE1748" w:rsidRPr="00434A22" w:rsidRDefault="00FE1748" w:rsidP="00FE1748">
      <w:pPr>
        <w:spacing w:after="0"/>
        <w:rPr>
          <w:rFonts w:ascii="Times New Roman" w:hAnsi="Times New Roman" w:cs="Times New Roman"/>
        </w:rPr>
      </w:pPr>
      <w:r>
        <w:rPr>
          <w:rFonts w:ascii="Times New Roman" w:hAnsi="Times New Roman" w:cs="Times New Roman"/>
        </w:rPr>
        <w:pict w14:anchorId="223EC654">
          <v:rect id="_x0000_i1061" style="width:0;height:1.5pt" o:hralign="center" o:hrstd="t" o:hr="t" fillcolor="#a0a0a0" stroked="f"/>
        </w:pict>
      </w:r>
    </w:p>
    <w:p w14:paraId="59EC20DD" w14:textId="77777777" w:rsidR="00FE1748" w:rsidRPr="00434A22" w:rsidRDefault="00FE1748" w:rsidP="00FE1748">
      <w:pPr>
        <w:rPr>
          <w:rFonts w:ascii="Times New Roman" w:eastAsiaTheme="majorEastAsia" w:hAnsi="Times New Roman" w:cs="Times New Roman"/>
          <w:color w:val="B76E0B" w:themeColor="accent1" w:themeShade="BF"/>
          <w:sz w:val="36"/>
          <w:szCs w:val="36"/>
        </w:rPr>
      </w:pPr>
      <w:r w:rsidRPr="00434A22">
        <w:rPr>
          <w:rFonts w:ascii="Times New Roman" w:hAnsi="Times New Roman" w:cs="Times New Roman"/>
        </w:rPr>
        <w:br w:type="page"/>
      </w:r>
    </w:p>
    <w:p w14:paraId="52B5A2EA" w14:textId="77777777" w:rsidR="00FE1748" w:rsidRPr="001C2A6B" w:rsidRDefault="00FE1748" w:rsidP="00FE1748">
      <w:pPr>
        <w:pStyle w:val="Heading1"/>
        <w:rPr>
          <w:rFonts w:ascii="Times New Roman" w:hAnsi="Times New Roman" w:cs="Times New Roman"/>
          <w:color w:val="000000" w:themeColor="text1"/>
        </w:rPr>
      </w:pPr>
      <w:bookmarkStart w:id="68" w:name="_Toc240920540"/>
      <w:bookmarkStart w:id="69" w:name="_Toc240920764"/>
      <w:bookmarkStart w:id="70" w:name="_Toc240921630"/>
      <w:r w:rsidRPr="001C2A6B">
        <w:rPr>
          <w:rFonts w:ascii="Segoe UI Emoji" w:hAnsi="Segoe UI Emoji" w:cs="Segoe UI Emoji"/>
          <w:color w:val="000000" w:themeColor="text1"/>
        </w:rPr>
        <w:lastRenderedPageBreak/>
        <w:t>🟧</w:t>
      </w:r>
      <w:r w:rsidRPr="001C2A6B">
        <w:rPr>
          <w:rFonts w:ascii="Times New Roman" w:hAnsi="Times New Roman" w:cs="Times New Roman"/>
          <w:color w:val="000000" w:themeColor="text1"/>
        </w:rPr>
        <w:t xml:space="preserve"> Conclusion</w:t>
      </w:r>
      <w:bookmarkEnd w:id="68"/>
      <w:bookmarkEnd w:id="69"/>
      <w:bookmarkEnd w:id="70"/>
    </w:p>
    <w:p w14:paraId="1D37C2AD" w14:textId="77777777" w:rsidR="00FE1748" w:rsidRPr="00434A22" w:rsidRDefault="00FE1748" w:rsidP="00FE1748">
      <w:pPr>
        <w:pStyle w:val="origin-typography"/>
      </w:pPr>
      <w:r w:rsidRPr="00434A22">
        <w:t>New Jersey’s housing affordability challenge requires more than down payment assistance.</w:t>
      </w:r>
    </w:p>
    <w:p w14:paraId="7F342E40" w14:textId="77777777" w:rsidR="00FE1748" w:rsidRPr="00434A22" w:rsidRDefault="00FE1748" w:rsidP="00FE1748">
      <w:pPr>
        <w:pStyle w:val="origin-typography"/>
      </w:pPr>
      <w:r w:rsidRPr="00434A22">
        <w:t>The data show that home prices have risen sharply, income gaps are severe, and the current assistance produces only a limited monthly benefit. In several counties, the income needed to buy a median-priced home exceeds local median household income by more than $100,000. At the same time, down payment assistance does not create new homes, increase supply, reduce prices, or build affordability on a scale.</w:t>
      </w:r>
    </w:p>
    <w:p w14:paraId="0FDF516D" w14:textId="77777777" w:rsidR="00FE1748" w:rsidRPr="00434A22" w:rsidRDefault="00FE1748" w:rsidP="00FE1748">
      <w:pPr>
        <w:pStyle w:val="origin-typography"/>
      </w:pPr>
      <w:r w:rsidRPr="00434A22">
        <w:t xml:space="preserve">The stronger policy response is to shift more state housing funding toward </w:t>
      </w:r>
      <w:r>
        <w:t>producing affordable homes for ownership</w:t>
      </w:r>
      <w:r w:rsidRPr="00434A22">
        <w:t>.</w:t>
      </w:r>
    </w:p>
    <w:p w14:paraId="054385F6" w14:textId="77777777" w:rsidR="00FE1748" w:rsidRPr="00434A22" w:rsidRDefault="00FE1748" w:rsidP="00FE1748">
      <w:pPr>
        <w:pStyle w:val="origin-typography"/>
      </w:pPr>
      <w:r w:rsidRPr="00434A22">
        <w:t>By investing in homes for sale, using vacant and underused land, supporting nonprofit development, strengthening Mount Laurel implementation, and targeting households below 80% AMI, New Jersey can expand ownership, support working families, stabilize communities, and help close long-term wealth gaps.</w:t>
      </w:r>
    </w:p>
    <w:p w14:paraId="0A76ED29" w14:textId="77777777" w:rsidR="00FE1748" w:rsidRDefault="00FE1748" w:rsidP="00FE1748">
      <w:pPr>
        <w:pStyle w:val="origin-typography"/>
      </w:pPr>
      <w:r w:rsidRPr="00434A22">
        <w:t>The policy choice is clear: New Jersey can continue helping a limited number of buyers compete in an unaffordable market, or it can build the affordable ownership opportunities that families and communities need.</w:t>
      </w:r>
    </w:p>
    <w:p w14:paraId="0F74F99E" w14:textId="77777777" w:rsidR="00FE1748" w:rsidRDefault="00FE1748" w:rsidP="00FE1748">
      <w:pPr>
        <w:pStyle w:val="origin-typography"/>
      </w:pPr>
    </w:p>
    <w:p w14:paraId="1598CCF6" w14:textId="77777777" w:rsidR="00FE1748" w:rsidRPr="00227742" w:rsidRDefault="00FE1748" w:rsidP="00FE1748">
      <w:pPr>
        <w:rPr>
          <w:rFonts w:ascii="Times New Roman" w:eastAsia="Times New Roman" w:hAnsi="Times New Roman" w:cs="Times New Roman"/>
          <w:sz w:val="24"/>
          <w:szCs w:val="24"/>
        </w:rPr>
      </w:pPr>
    </w:p>
    <w:p w14:paraId="0ED1E7A7" w14:textId="77777777" w:rsidR="0049606A" w:rsidRPr="001B5F9C" w:rsidRDefault="0049606A" w:rsidP="00FE1748">
      <w:pPr>
        <w:pStyle w:val="Heading1"/>
      </w:pPr>
    </w:p>
    <w:sectPr w:rsidR="0049606A" w:rsidRPr="001B5F9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6108B" w14:textId="77777777" w:rsidR="00C8608C" w:rsidRDefault="00C8608C" w:rsidP="001B5F9C">
      <w:pPr>
        <w:spacing w:after="0" w:line="240" w:lineRule="auto"/>
      </w:pPr>
      <w:r>
        <w:separator/>
      </w:r>
    </w:p>
  </w:endnote>
  <w:endnote w:type="continuationSeparator" w:id="0">
    <w:p w14:paraId="298C74EA" w14:textId="77777777" w:rsidR="00C8608C" w:rsidRDefault="00C8608C" w:rsidP="001B5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AEBD6" w14:textId="77777777" w:rsidR="00982991" w:rsidRDefault="009829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C03E" w14:textId="77777777" w:rsidR="00982991" w:rsidRDefault="009829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DC1B8" w14:textId="77777777" w:rsidR="00982991" w:rsidRDefault="009829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68E76" w14:textId="77777777" w:rsidR="00C8608C" w:rsidRDefault="00C8608C" w:rsidP="001B5F9C">
      <w:pPr>
        <w:spacing w:after="0" w:line="240" w:lineRule="auto"/>
      </w:pPr>
      <w:r>
        <w:separator/>
      </w:r>
    </w:p>
  </w:footnote>
  <w:footnote w:type="continuationSeparator" w:id="0">
    <w:p w14:paraId="4BA589A9" w14:textId="77777777" w:rsidR="00C8608C" w:rsidRDefault="00C8608C" w:rsidP="001B5F9C">
      <w:pPr>
        <w:spacing w:after="0" w:line="240" w:lineRule="auto"/>
      </w:pPr>
      <w:r>
        <w:continuationSeparator/>
      </w:r>
    </w:p>
  </w:footnote>
  <w:footnote w:id="1">
    <w:p w14:paraId="3ED37BE6" w14:textId="77777777" w:rsidR="00FE1748" w:rsidRPr="00412CEF" w:rsidRDefault="00FE1748">
      <w:pPr>
        <w:pStyle w:val="FootnoteText"/>
        <w:rPr>
          <w:rFonts w:ascii="Times New Roman" w:hAnsi="Times New Roman" w:cs="Times New Roman"/>
        </w:rPr>
      </w:pPr>
      <w:r w:rsidRPr="00412CEF">
        <w:rPr>
          <w:rStyle w:val="FootnoteReference"/>
          <w:rFonts w:ascii="Times New Roman" w:hAnsi="Times New Roman" w:cs="Times New Roman"/>
        </w:rPr>
        <w:footnoteRef/>
      </w:r>
      <w:r w:rsidRPr="00412CEF">
        <w:rPr>
          <w:rFonts w:ascii="Times New Roman" w:hAnsi="Times New Roman" w:cs="Times New Roman"/>
        </w:rPr>
        <w:t xml:space="preserve"> See </w:t>
      </w:r>
      <w:hyperlink r:id="rId1" w:history="1">
        <w:r w:rsidRPr="00412CEF">
          <w:rPr>
            <w:rStyle w:val="Hyperlink"/>
            <w:rFonts w:ascii="Times New Roman" w:hAnsi="Times New Roman" w:cs="Times New Roman"/>
          </w:rPr>
          <w:t>New Jersey Housing and Mortgage Finance Agency’s Loan Products Fact Sheets and Materials</w:t>
        </w:r>
      </w:hyperlink>
      <w:r w:rsidRPr="00412CEF">
        <w:rPr>
          <w:rFonts w:ascii="Times New Roman" w:hAnsi="Times New Roman" w:cs="Times New Roman"/>
        </w:rPr>
        <w:t xml:space="preserve"> for more details on the programs available.</w:t>
      </w:r>
    </w:p>
  </w:footnote>
  <w:footnote w:id="2">
    <w:p w14:paraId="524503B1" w14:textId="77777777" w:rsidR="00FE1748" w:rsidRDefault="00FE1748">
      <w:pPr>
        <w:pStyle w:val="FootnoteText"/>
      </w:pPr>
      <w:r w:rsidRPr="00412CEF">
        <w:rPr>
          <w:rStyle w:val="FootnoteReference"/>
          <w:rFonts w:ascii="Times New Roman" w:hAnsi="Times New Roman" w:cs="Times New Roman"/>
        </w:rPr>
        <w:footnoteRef/>
      </w:r>
      <w:r w:rsidRPr="00412CEF">
        <w:rPr>
          <w:rFonts w:ascii="Times New Roman" w:hAnsi="Times New Roman" w:cs="Times New Roman"/>
        </w:rPr>
        <w:t xml:space="preserve"> See U.S. Census Bureau, </w:t>
      </w:r>
      <w:hyperlink r:id="rId2" w:history="1">
        <w:r w:rsidRPr="00412CEF">
          <w:rPr>
            <w:rStyle w:val="Hyperlink"/>
            <w:rFonts w:ascii="Times New Roman" w:hAnsi="Times New Roman" w:cs="Times New Roman"/>
          </w:rPr>
          <w:t>2024 American Community Survey 5-Year Estimates</w:t>
        </w:r>
      </w:hyperlink>
      <w:r>
        <w:rPr>
          <w:rFonts w:ascii="Times New Roman" w:hAnsi="Times New Roman" w:cs="Times New Roman"/>
        </w:rPr>
        <w:t>.</w:t>
      </w:r>
    </w:p>
  </w:footnote>
  <w:footnote w:id="3">
    <w:p w14:paraId="3CAB6EAC" w14:textId="77777777" w:rsidR="00FE1748" w:rsidRPr="00A55631" w:rsidRDefault="00FE1748" w:rsidP="00814C5F">
      <w:pPr>
        <w:pStyle w:val="FootnoteText"/>
        <w:rPr>
          <w:rFonts w:ascii="Times New Roman" w:hAnsi="Times New Roman" w:cs="Times New Roman"/>
        </w:rPr>
      </w:pPr>
      <w:r w:rsidRPr="00A55631">
        <w:rPr>
          <w:rStyle w:val="FootnoteReference"/>
          <w:rFonts w:ascii="Times New Roman" w:hAnsi="Times New Roman" w:cs="Times New Roman"/>
        </w:rPr>
        <w:footnoteRef/>
      </w:r>
      <w:r w:rsidRPr="00A55631">
        <w:rPr>
          <w:rFonts w:ascii="Times New Roman" w:hAnsi="Times New Roman" w:cs="Times New Roman"/>
        </w:rPr>
        <w:t xml:space="preserve"> Payments assume a 30-year fixed mortgage at </w:t>
      </w:r>
      <w:r>
        <w:rPr>
          <w:rFonts w:ascii="Times New Roman" w:hAnsi="Times New Roman" w:cs="Times New Roman"/>
        </w:rPr>
        <w:t>floating CRA</w:t>
      </w:r>
      <w:r w:rsidRPr="00A55631">
        <w:rPr>
          <w:rFonts w:ascii="Times New Roman" w:hAnsi="Times New Roman" w:cs="Times New Roman"/>
        </w:rPr>
        <w:t xml:space="preserve"> interest</w:t>
      </w:r>
      <w:r>
        <w:rPr>
          <w:rFonts w:ascii="Times New Roman" w:hAnsi="Times New Roman" w:cs="Times New Roman"/>
        </w:rPr>
        <w:t xml:space="preserve"> rates</w:t>
      </w:r>
      <w:r w:rsidRPr="00A55631">
        <w:rPr>
          <w:rFonts w:ascii="Times New Roman" w:hAnsi="Times New Roman" w:cs="Times New Roman"/>
        </w:rPr>
        <w:t>, 5% down</w:t>
      </w:r>
      <w:r>
        <w:rPr>
          <w:rFonts w:ascii="Times New Roman" w:hAnsi="Times New Roman" w:cs="Times New Roman"/>
        </w:rPr>
        <w:t xml:space="preserve"> payment</w:t>
      </w:r>
      <w:r w:rsidRPr="00A55631">
        <w:rPr>
          <w:rFonts w:ascii="Times New Roman" w:hAnsi="Times New Roman" w:cs="Times New Roman"/>
        </w:rPr>
        <w:t xml:space="preserve">, county median home value from Zillow, and NJHMFA down payment assistance. </w:t>
      </w:r>
    </w:p>
  </w:footnote>
  <w:footnote w:id="4">
    <w:p w14:paraId="17C1A05E" w14:textId="77777777" w:rsidR="00FE1748" w:rsidRPr="00A55631" w:rsidRDefault="00FE1748">
      <w:pPr>
        <w:pStyle w:val="FootnoteText"/>
        <w:rPr>
          <w:rFonts w:ascii="Times New Roman" w:hAnsi="Times New Roman" w:cs="Times New Roman"/>
        </w:rPr>
      </w:pPr>
      <w:r w:rsidRPr="00A55631">
        <w:rPr>
          <w:rStyle w:val="FootnoteReference"/>
          <w:rFonts w:ascii="Times New Roman" w:hAnsi="Times New Roman" w:cs="Times New Roman"/>
        </w:rPr>
        <w:footnoteRef/>
      </w:r>
      <w:r w:rsidRPr="00A55631">
        <w:rPr>
          <w:rFonts w:ascii="Times New Roman" w:hAnsi="Times New Roman" w:cs="Times New Roman"/>
        </w:rPr>
        <w:t xml:space="preserve"> Income and affordability gap assume</w:t>
      </w:r>
      <w:r>
        <w:rPr>
          <w:rFonts w:ascii="Times New Roman" w:hAnsi="Times New Roman" w:cs="Times New Roman"/>
        </w:rPr>
        <w:t>s</w:t>
      </w:r>
      <w:r w:rsidRPr="00A55631">
        <w:rPr>
          <w:rFonts w:ascii="Times New Roman" w:hAnsi="Times New Roman" w:cs="Times New Roman"/>
        </w:rPr>
        <w:t xml:space="preserve"> values from 2024 American Community Survey </w:t>
      </w:r>
      <w:r>
        <w:rPr>
          <w:rFonts w:ascii="Times New Roman" w:hAnsi="Times New Roman" w:cs="Times New Roman"/>
        </w:rPr>
        <w:t>5</w:t>
      </w:r>
      <w:r w:rsidRPr="00A55631">
        <w:rPr>
          <w:rFonts w:ascii="Times New Roman" w:hAnsi="Times New Roman" w:cs="Times New Roman"/>
        </w:rPr>
        <w:t xml:space="preserve">-year Estimates.  </w:t>
      </w:r>
    </w:p>
  </w:footnote>
  <w:footnote w:id="5">
    <w:p w14:paraId="7A31EE7E" w14:textId="77777777" w:rsidR="00FE1748" w:rsidRPr="009977A6" w:rsidRDefault="00FE1748">
      <w:pPr>
        <w:pStyle w:val="FootnoteText"/>
        <w:rPr>
          <w:rFonts w:ascii="Times New Roman" w:hAnsi="Times New Roman" w:cs="Times New Roman"/>
        </w:rPr>
      </w:pPr>
      <w:r w:rsidRPr="009977A6">
        <w:rPr>
          <w:rStyle w:val="FootnoteReference"/>
          <w:rFonts w:ascii="Times New Roman" w:hAnsi="Times New Roman" w:cs="Times New Roman"/>
        </w:rPr>
        <w:footnoteRef/>
      </w:r>
      <w:r w:rsidRPr="009977A6">
        <w:rPr>
          <w:rFonts w:ascii="Times New Roman" w:hAnsi="Times New Roman" w:cs="Times New Roman"/>
        </w:rPr>
        <w:t xml:space="preserve"> Median home </w:t>
      </w:r>
      <w:r>
        <w:rPr>
          <w:rFonts w:ascii="Times New Roman" w:hAnsi="Times New Roman" w:cs="Times New Roman"/>
        </w:rPr>
        <w:t xml:space="preserve">sale </w:t>
      </w:r>
      <w:r w:rsidRPr="009977A6">
        <w:rPr>
          <w:rFonts w:ascii="Times New Roman" w:hAnsi="Times New Roman" w:cs="Times New Roman"/>
        </w:rPr>
        <w:t xml:space="preserve">values </w:t>
      </w:r>
      <w:r>
        <w:rPr>
          <w:rFonts w:ascii="Times New Roman" w:hAnsi="Times New Roman" w:cs="Times New Roman"/>
        </w:rPr>
        <w:t xml:space="preserve">sourced </w:t>
      </w:r>
      <w:r w:rsidRPr="009977A6">
        <w:rPr>
          <w:rFonts w:ascii="Times New Roman" w:hAnsi="Times New Roman" w:cs="Times New Roman"/>
        </w:rPr>
        <w:t>from Zillow</w:t>
      </w:r>
      <w:r>
        <w:rPr>
          <w:rFonts w:ascii="Times New Roman" w:hAnsi="Times New Roman" w:cs="Times New Roman"/>
        </w:rPr>
        <w:t xml:space="preserve"> (2026).</w:t>
      </w:r>
    </w:p>
  </w:footnote>
  <w:footnote w:id="6">
    <w:p w14:paraId="68974863" w14:textId="77777777" w:rsidR="00FE1748" w:rsidRPr="00906B42" w:rsidRDefault="00FE1748">
      <w:pPr>
        <w:pStyle w:val="FootnoteText"/>
        <w:rPr>
          <w:rFonts w:ascii="Times New Roman" w:hAnsi="Times New Roman" w:cs="Times New Roman"/>
        </w:rPr>
      </w:pPr>
      <w:r w:rsidRPr="00906B42">
        <w:rPr>
          <w:rStyle w:val="FootnoteReference"/>
          <w:rFonts w:ascii="Times New Roman" w:hAnsi="Times New Roman" w:cs="Times New Roman"/>
        </w:rPr>
        <w:footnoteRef/>
      </w:r>
      <w:r w:rsidRPr="00906B42">
        <w:rPr>
          <w:rFonts w:ascii="Times New Roman" w:hAnsi="Times New Roman" w:cs="Times New Roman"/>
        </w:rPr>
        <w:t xml:space="preserve"> Median home sale values sourced from Zillow (2019 and 2026).</w:t>
      </w:r>
    </w:p>
  </w:footnote>
  <w:footnote w:id="7">
    <w:p w14:paraId="0EC0FE78" w14:textId="77777777" w:rsidR="00FE1748" w:rsidRPr="00D07309" w:rsidRDefault="00FE1748">
      <w:pPr>
        <w:pStyle w:val="FootnoteText"/>
        <w:rPr>
          <w:rFonts w:ascii="Times New Roman" w:hAnsi="Times New Roman" w:cs="Times New Roman"/>
        </w:rPr>
      </w:pPr>
      <w:r w:rsidRPr="00D07309">
        <w:rPr>
          <w:rStyle w:val="FootnoteReference"/>
          <w:rFonts w:ascii="Times New Roman" w:hAnsi="Times New Roman" w:cs="Times New Roman"/>
        </w:rPr>
        <w:footnoteRef/>
      </w:r>
      <w:r w:rsidRPr="00D07309">
        <w:rPr>
          <w:rFonts w:ascii="Times New Roman" w:hAnsi="Times New Roman" w:cs="Times New Roman"/>
        </w:rPr>
        <w:t xml:space="preserve"> See NJHMFA, </w:t>
      </w:r>
      <w:hyperlink r:id="rId3" w:history="1">
        <w:r w:rsidRPr="00D07309">
          <w:rPr>
            <w:rStyle w:val="Hyperlink"/>
            <w:rFonts w:ascii="Times New Roman" w:hAnsi="Times New Roman" w:cs="Times New Roman"/>
          </w:rPr>
          <w:t>First-Time Homebuyer Mortgage Program with Down Payment Assistance</w:t>
        </w:r>
      </w:hyperlink>
      <w:r w:rsidRPr="00D07309">
        <w:rPr>
          <w:rFonts w:ascii="Times New Roman" w:hAnsi="Times New Roman" w:cs="Times New Roman"/>
        </w:rPr>
        <w:t xml:space="preserve"> (2026) and Joseph, </w:t>
      </w:r>
      <w:hyperlink r:id="rId4" w:history="1">
        <w:r w:rsidRPr="00D07309">
          <w:rPr>
            <w:rStyle w:val="Hyperlink"/>
            <w:rFonts w:ascii="Times New Roman" w:hAnsi="Times New Roman" w:cs="Times New Roman"/>
          </w:rPr>
          <w:t>NJHMFA Income Limits 2026 by County (and Purchase Price Limits)</w:t>
        </w:r>
      </w:hyperlink>
      <w:r>
        <w:rPr>
          <w:rFonts w:ascii="Times New Roman" w:hAnsi="Times New Roman" w:cs="Times New Roman"/>
        </w:rPr>
        <w:t>.</w:t>
      </w:r>
    </w:p>
  </w:footnote>
  <w:footnote w:id="8">
    <w:p w14:paraId="1CEF08C7" w14:textId="77777777" w:rsidR="00FE1748" w:rsidRPr="00755BA3" w:rsidRDefault="00FE1748">
      <w:pPr>
        <w:pStyle w:val="FootnoteText"/>
        <w:rPr>
          <w:rFonts w:ascii="Times New Roman" w:hAnsi="Times New Roman" w:cs="Times New Roman"/>
        </w:rPr>
      </w:pPr>
      <w:r w:rsidRPr="00755BA3">
        <w:rPr>
          <w:rStyle w:val="FootnoteReference"/>
          <w:rFonts w:ascii="Times New Roman" w:hAnsi="Times New Roman" w:cs="Times New Roman"/>
        </w:rPr>
        <w:footnoteRef/>
      </w:r>
      <w:r w:rsidRPr="00755BA3">
        <w:rPr>
          <w:rFonts w:ascii="Times New Roman" w:hAnsi="Times New Roman" w:cs="Times New Roman"/>
        </w:rPr>
        <w:t xml:space="preserve"> See New Jersey Institute for Social Justice, </w:t>
      </w:r>
      <w:hyperlink r:id="rId5" w:history="1">
        <w:r w:rsidRPr="00755BA3">
          <w:rPr>
            <w:rStyle w:val="Hyperlink"/>
            <w:rFonts w:ascii="Times New Roman" w:hAnsi="Times New Roman" w:cs="Times New Roman"/>
          </w:rPr>
          <w:t>New Jersey Racial Wealth Gap Over $600,000, Says New Institute Report</w:t>
        </w:r>
      </w:hyperlink>
      <w:r w:rsidRPr="00755BA3">
        <w:rPr>
          <w:rFonts w:ascii="Times New Roman" w:hAnsi="Times New Roman" w:cs="Times New Roman"/>
        </w:rPr>
        <w:t xml:space="preserve"> (2025).</w:t>
      </w:r>
    </w:p>
  </w:footnote>
  <w:footnote w:id="9">
    <w:p w14:paraId="19308333" w14:textId="77777777" w:rsidR="00FE1748" w:rsidRPr="00F33085" w:rsidRDefault="00FE1748">
      <w:pPr>
        <w:pStyle w:val="FootnoteText"/>
        <w:rPr>
          <w:rFonts w:ascii="Times New Roman" w:hAnsi="Times New Roman" w:cs="Times New Roman"/>
        </w:rPr>
      </w:pPr>
      <w:r w:rsidRPr="00F33085">
        <w:rPr>
          <w:rStyle w:val="FootnoteReference"/>
          <w:rFonts w:ascii="Times New Roman" w:hAnsi="Times New Roman" w:cs="Times New Roman"/>
        </w:rPr>
        <w:footnoteRef/>
      </w:r>
      <w:r w:rsidRPr="00F33085">
        <w:rPr>
          <w:rFonts w:ascii="Times New Roman" w:hAnsi="Times New Roman" w:cs="Times New Roman"/>
        </w:rPr>
        <w:t xml:space="preserve"> See NJ Department of the Treasury, </w:t>
      </w:r>
      <w:hyperlink r:id="rId6" w:history="1">
        <w:r w:rsidRPr="00F33085">
          <w:rPr>
            <w:rStyle w:val="Hyperlink"/>
            <w:rFonts w:ascii="Times New Roman" w:hAnsi="Times New Roman" w:cs="Times New Roman"/>
          </w:rPr>
          <w:t xml:space="preserve">Realty Transfer Fee: Statistical Report for Fiscal Years Through FY 2025 </w:t>
        </w:r>
      </w:hyperlink>
      <w:r w:rsidRPr="00F33085">
        <w:rPr>
          <w:rFonts w:ascii="Times New Roman" w:hAnsi="Times New Roman" w:cs="Times New Roman"/>
        </w:rPr>
        <w:t xml:space="preserve">and Insider NJ, </w:t>
      </w:r>
      <w:hyperlink r:id="rId7" w:history="1">
        <w:r w:rsidRPr="00F33085">
          <w:rPr>
            <w:rStyle w:val="Hyperlink"/>
            <w:rFonts w:ascii="Times New Roman" w:hAnsi="Times New Roman" w:cs="Times New Roman"/>
          </w:rPr>
          <w:t>Housing Advocates Raise Alarm, As State Budget Continues to Limit Affordable Home Building</w:t>
        </w:r>
      </w:hyperlink>
      <w:r w:rsidRPr="00F33085">
        <w:rPr>
          <w:rFonts w:ascii="Times New Roman" w:hAnsi="Times New Roman" w:cs="Times New Roman"/>
        </w:rPr>
        <w:t xml:space="preserve"> (2026).</w:t>
      </w:r>
    </w:p>
  </w:footnote>
  <w:footnote w:id="10">
    <w:p w14:paraId="75260B40" w14:textId="77777777" w:rsidR="00FE1748" w:rsidRPr="00B3488B" w:rsidRDefault="00FE1748">
      <w:pPr>
        <w:pStyle w:val="FootnoteText"/>
        <w:rPr>
          <w:rFonts w:ascii="Times New Roman" w:hAnsi="Times New Roman" w:cs="Times New Roman"/>
        </w:rPr>
      </w:pPr>
      <w:r w:rsidRPr="00B3488B">
        <w:rPr>
          <w:rStyle w:val="FootnoteReference"/>
          <w:rFonts w:ascii="Times New Roman" w:hAnsi="Times New Roman" w:cs="Times New Roman"/>
        </w:rPr>
        <w:footnoteRef/>
      </w:r>
      <w:r w:rsidRPr="00B3488B">
        <w:rPr>
          <w:rFonts w:ascii="Times New Roman" w:hAnsi="Times New Roman" w:cs="Times New Roman"/>
        </w:rPr>
        <w:t xml:space="preserve"> See National Housing Conference, </w:t>
      </w:r>
      <w:hyperlink r:id="rId8" w:history="1">
        <w:r w:rsidRPr="00B3488B">
          <w:rPr>
            <w:rStyle w:val="Hyperlink"/>
            <w:rFonts w:ascii="Times New Roman" w:hAnsi="Times New Roman" w:cs="Times New Roman"/>
          </w:rPr>
          <w:t>Shared Equity Models of Homeownership</w:t>
        </w:r>
      </w:hyperlink>
      <w:r>
        <w:rPr>
          <w:rFonts w:ascii="Times New Roman" w:hAnsi="Times New Roman" w:cs="Times New Roman"/>
        </w:rPr>
        <w:t>.</w:t>
      </w:r>
    </w:p>
  </w:footnote>
  <w:footnote w:id="11">
    <w:p w14:paraId="2FA15B84" w14:textId="77777777" w:rsidR="00FE1748" w:rsidRPr="00A55631" w:rsidRDefault="00FE1748" w:rsidP="00FE1748">
      <w:pPr>
        <w:pStyle w:val="FootnoteText"/>
        <w:rPr>
          <w:rFonts w:ascii="Times New Roman" w:hAnsi="Times New Roman" w:cs="Times New Roman"/>
        </w:rPr>
      </w:pPr>
      <w:r w:rsidRPr="00A55631">
        <w:rPr>
          <w:rStyle w:val="FootnoteReference"/>
          <w:rFonts w:ascii="Times New Roman" w:hAnsi="Times New Roman" w:cs="Times New Roman"/>
        </w:rPr>
        <w:footnoteRef/>
      </w:r>
      <w:r w:rsidRPr="00A55631">
        <w:rPr>
          <w:rFonts w:ascii="Times New Roman" w:hAnsi="Times New Roman" w:cs="Times New Roman"/>
        </w:rPr>
        <w:t xml:space="preserve"> Payments assume a 30-year fixed mortgage at </w:t>
      </w:r>
      <w:r>
        <w:rPr>
          <w:rFonts w:ascii="Times New Roman" w:hAnsi="Times New Roman" w:cs="Times New Roman"/>
        </w:rPr>
        <w:t>floating CRA</w:t>
      </w:r>
      <w:r w:rsidRPr="00A55631">
        <w:rPr>
          <w:rFonts w:ascii="Times New Roman" w:hAnsi="Times New Roman" w:cs="Times New Roman"/>
        </w:rPr>
        <w:t xml:space="preserve"> interest</w:t>
      </w:r>
      <w:r>
        <w:rPr>
          <w:rFonts w:ascii="Times New Roman" w:hAnsi="Times New Roman" w:cs="Times New Roman"/>
        </w:rPr>
        <w:t xml:space="preserve"> rates</w:t>
      </w:r>
      <w:r w:rsidRPr="00A55631">
        <w:rPr>
          <w:rFonts w:ascii="Times New Roman" w:hAnsi="Times New Roman" w:cs="Times New Roman"/>
        </w:rPr>
        <w:t>, 5% down</w:t>
      </w:r>
      <w:r>
        <w:rPr>
          <w:rFonts w:ascii="Times New Roman" w:hAnsi="Times New Roman" w:cs="Times New Roman"/>
        </w:rPr>
        <w:t xml:space="preserve"> payment</w:t>
      </w:r>
      <w:r w:rsidRPr="00A55631">
        <w:rPr>
          <w:rFonts w:ascii="Times New Roman" w:hAnsi="Times New Roman" w:cs="Times New Roman"/>
        </w:rPr>
        <w:t xml:space="preserve">, county median home value from Zillow, and NJHMFA down payment assistance. </w:t>
      </w:r>
    </w:p>
  </w:footnote>
  <w:footnote w:id="12">
    <w:p w14:paraId="5C4098BD" w14:textId="77777777" w:rsidR="00FE1748" w:rsidRPr="00A55631" w:rsidRDefault="00FE1748" w:rsidP="00FE1748">
      <w:pPr>
        <w:pStyle w:val="FootnoteText"/>
        <w:rPr>
          <w:rFonts w:ascii="Times New Roman" w:hAnsi="Times New Roman" w:cs="Times New Roman"/>
        </w:rPr>
      </w:pPr>
      <w:r w:rsidRPr="00A55631">
        <w:rPr>
          <w:rStyle w:val="FootnoteReference"/>
          <w:rFonts w:ascii="Times New Roman" w:hAnsi="Times New Roman" w:cs="Times New Roman"/>
        </w:rPr>
        <w:footnoteRef/>
      </w:r>
      <w:r w:rsidRPr="00A55631">
        <w:rPr>
          <w:rFonts w:ascii="Times New Roman" w:hAnsi="Times New Roman" w:cs="Times New Roman"/>
        </w:rPr>
        <w:t xml:space="preserve"> Income and affordability gap assume</w:t>
      </w:r>
      <w:r>
        <w:rPr>
          <w:rFonts w:ascii="Times New Roman" w:hAnsi="Times New Roman" w:cs="Times New Roman"/>
        </w:rPr>
        <w:t>s</w:t>
      </w:r>
      <w:r w:rsidRPr="00A55631">
        <w:rPr>
          <w:rFonts w:ascii="Times New Roman" w:hAnsi="Times New Roman" w:cs="Times New Roman"/>
        </w:rPr>
        <w:t xml:space="preserve"> values from 2024 American Community Survey </w:t>
      </w:r>
      <w:r>
        <w:rPr>
          <w:rFonts w:ascii="Times New Roman" w:hAnsi="Times New Roman" w:cs="Times New Roman"/>
        </w:rPr>
        <w:t>5</w:t>
      </w:r>
      <w:r w:rsidRPr="00A55631">
        <w:rPr>
          <w:rFonts w:ascii="Times New Roman" w:hAnsi="Times New Roman" w:cs="Times New Roman"/>
        </w:rPr>
        <w:t xml:space="preserve">-year Estimates.  </w:t>
      </w:r>
    </w:p>
  </w:footnote>
  <w:footnote w:id="13">
    <w:p w14:paraId="353076EF" w14:textId="77777777" w:rsidR="00FE1748" w:rsidRPr="009977A6" w:rsidRDefault="00FE1748" w:rsidP="00FE1748">
      <w:pPr>
        <w:pStyle w:val="FootnoteText"/>
        <w:rPr>
          <w:rFonts w:ascii="Times New Roman" w:hAnsi="Times New Roman" w:cs="Times New Roman"/>
        </w:rPr>
      </w:pPr>
      <w:r w:rsidRPr="009977A6">
        <w:rPr>
          <w:rStyle w:val="FootnoteReference"/>
          <w:rFonts w:ascii="Times New Roman" w:hAnsi="Times New Roman" w:cs="Times New Roman"/>
        </w:rPr>
        <w:footnoteRef/>
      </w:r>
      <w:r w:rsidRPr="009977A6">
        <w:rPr>
          <w:rFonts w:ascii="Times New Roman" w:hAnsi="Times New Roman" w:cs="Times New Roman"/>
        </w:rPr>
        <w:t xml:space="preserve"> Median home </w:t>
      </w:r>
      <w:r>
        <w:rPr>
          <w:rFonts w:ascii="Times New Roman" w:hAnsi="Times New Roman" w:cs="Times New Roman"/>
        </w:rPr>
        <w:t xml:space="preserve">sale </w:t>
      </w:r>
      <w:r w:rsidRPr="009977A6">
        <w:rPr>
          <w:rFonts w:ascii="Times New Roman" w:hAnsi="Times New Roman" w:cs="Times New Roman"/>
        </w:rPr>
        <w:t xml:space="preserve">values </w:t>
      </w:r>
      <w:r>
        <w:rPr>
          <w:rFonts w:ascii="Times New Roman" w:hAnsi="Times New Roman" w:cs="Times New Roman"/>
        </w:rPr>
        <w:t xml:space="preserve">sourced </w:t>
      </w:r>
      <w:r w:rsidRPr="009977A6">
        <w:rPr>
          <w:rFonts w:ascii="Times New Roman" w:hAnsi="Times New Roman" w:cs="Times New Roman"/>
        </w:rPr>
        <w:t>from Zillow</w:t>
      </w:r>
      <w:r>
        <w:rPr>
          <w:rFonts w:ascii="Times New Roman" w:hAnsi="Times New Roman" w:cs="Times New Roman"/>
        </w:rPr>
        <w:t xml:space="preserve"> (2026).</w:t>
      </w:r>
    </w:p>
  </w:footnote>
  <w:footnote w:id="14">
    <w:p w14:paraId="1F4F745C" w14:textId="77777777" w:rsidR="00FE1748" w:rsidRPr="00906B42" w:rsidRDefault="00FE1748" w:rsidP="00FE1748">
      <w:pPr>
        <w:pStyle w:val="FootnoteText"/>
        <w:rPr>
          <w:rFonts w:ascii="Times New Roman" w:hAnsi="Times New Roman" w:cs="Times New Roman"/>
        </w:rPr>
      </w:pPr>
      <w:r w:rsidRPr="00906B42">
        <w:rPr>
          <w:rStyle w:val="FootnoteReference"/>
          <w:rFonts w:ascii="Times New Roman" w:hAnsi="Times New Roman" w:cs="Times New Roman"/>
        </w:rPr>
        <w:footnoteRef/>
      </w:r>
      <w:r w:rsidRPr="00906B42">
        <w:rPr>
          <w:rFonts w:ascii="Times New Roman" w:hAnsi="Times New Roman" w:cs="Times New Roman"/>
        </w:rPr>
        <w:t xml:space="preserve"> Median home sale values sourced from Zillow (2019 and 2026).</w:t>
      </w:r>
    </w:p>
  </w:footnote>
  <w:footnote w:id="15">
    <w:p w14:paraId="462FB67A" w14:textId="77777777" w:rsidR="00FE1748" w:rsidRPr="00D07309" w:rsidRDefault="00FE1748" w:rsidP="00FE1748">
      <w:pPr>
        <w:pStyle w:val="FootnoteText"/>
        <w:rPr>
          <w:rFonts w:ascii="Times New Roman" w:hAnsi="Times New Roman" w:cs="Times New Roman"/>
        </w:rPr>
      </w:pPr>
      <w:r w:rsidRPr="00D07309">
        <w:rPr>
          <w:rStyle w:val="FootnoteReference"/>
          <w:rFonts w:ascii="Times New Roman" w:hAnsi="Times New Roman" w:cs="Times New Roman"/>
        </w:rPr>
        <w:footnoteRef/>
      </w:r>
      <w:r w:rsidRPr="00D07309">
        <w:rPr>
          <w:rFonts w:ascii="Times New Roman" w:hAnsi="Times New Roman" w:cs="Times New Roman"/>
        </w:rPr>
        <w:t xml:space="preserve"> See NJHMFA, </w:t>
      </w:r>
      <w:hyperlink r:id="rId9" w:history="1">
        <w:r w:rsidRPr="00D07309">
          <w:rPr>
            <w:rStyle w:val="Hyperlink"/>
            <w:rFonts w:ascii="Times New Roman" w:hAnsi="Times New Roman" w:cs="Times New Roman"/>
          </w:rPr>
          <w:t>First-Time Homebuyer Mortgage Program with Down Payment Assistance</w:t>
        </w:r>
      </w:hyperlink>
      <w:r w:rsidRPr="00D07309">
        <w:rPr>
          <w:rFonts w:ascii="Times New Roman" w:hAnsi="Times New Roman" w:cs="Times New Roman"/>
        </w:rPr>
        <w:t xml:space="preserve"> (2026) and Joseph, </w:t>
      </w:r>
      <w:hyperlink r:id="rId10" w:history="1">
        <w:r w:rsidRPr="00D07309">
          <w:rPr>
            <w:rStyle w:val="Hyperlink"/>
            <w:rFonts w:ascii="Times New Roman" w:hAnsi="Times New Roman" w:cs="Times New Roman"/>
          </w:rPr>
          <w:t>NJHMFA Income Limits 2026 by County (and Purchase Price Limits)</w:t>
        </w:r>
      </w:hyperlink>
      <w:r>
        <w:rPr>
          <w:rFonts w:ascii="Times New Roman" w:hAnsi="Times New Roman" w:cs="Times New Roman"/>
        </w:rPr>
        <w:t>.</w:t>
      </w:r>
    </w:p>
  </w:footnote>
  <w:footnote w:id="16">
    <w:p w14:paraId="2F7843FB" w14:textId="77777777" w:rsidR="00FE1748" w:rsidRPr="00755BA3" w:rsidRDefault="00FE1748" w:rsidP="00FE1748">
      <w:pPr>
        <w:pStyle w:val="FootnoteText"/>
        <w:rPr>
          <w:rFonts w:ascii="Times New Roman" w:hAnsi="Times New Roman" w:cs="Times New Roman"/>
        </w:rPr>
      </w:pPr>
      <w:r w:rsidRPr="00755BA3">
        <w:rPr>
          <w:rStyle w:val="FootnoteReference"/>
          <w:rFonts w:ascii="Times New Roman" w:hAnsi="Times New Roman" w:cs="Times New Roman"/>
        </w:rPr>
        <w:footnoteRef/>
      </w:r>
      <w:r w:rsidRPr="00755BA3">
        <w:rPr>
          <w:rFonts w:ascii="Times New Roman" w:hAnsi="Times New Roman" w:cs="Times New Roman"/>
        </w:rPr>
        <w:t xml:space="preserve"> See New Jersey Institute for Social Justice, </w:t>
      </w:r>
      <w:hyperlink r:id="rId11" w:history="1">
        <w:r w:rsidRPr="00755BA3">
          <w:rPr>
            <w:rStyle w:val="Hyperlink"/>
            <w:rFonts w:ascii="Times New Roman" w:hAnsi="Times New Roman" w:cs="Times New Roman"/>
          </w:rPr>
          <w:t>New Jersey Racial Wealth Gap Over $600,000, Says New Institute Report</w:t>
        </w:r>
      </w:hyperlink>
      <w:r w:rsidRPr="00755BA3">
        <w:rPr>
          <w:rFonts w:ascii="Times New Roman" w:hAnsi="Times New Roman" w:cs="Times New Roman"/>
        </w:rPr>
        <w:t xml:space="preserve"> (2025).</w:t>
      </w:r>
    </w:p>
  </w:footnote>
  <w:footnote w:id="17">
    <w:p w14:paraId="33D4CFF9" w14:textId="77777777" w:rsidR="00FE1748" w:rsidRPr="00F33085" w:rsidRDefault="00FE1748" w:rsidP="00FE1748">
      <w:pPr>
        <w:pStyle w:val="FootnoteText"/>
        <w:rPr>
          <w:rFonts w:ascii="Times New Roman" w:hAnsi="Times New Roman" w:cs="Times New Roman"/>
        </w:rPr>
      </w:pPr>
      <w:r w:rsidRPr="00F33085">
        <w:rPr>
          <w:rStyle w:val="FootnoteReference"/>
          <w:rFonts w:ascii="Times New Roman" w:hAnsi="Times New Roman" w:cs="Times New Roman"/>
        </w:rPr>
        <w:footnoteRef/>
      </w:r>
      <w:r w:rsidRPr="00F33085">
        <w:rPr>
          <w:rFonts w:ascii="Times New Roman" w:hAnsi="Times New Roman" w:cs="Times New Roman"/>
        </w:rPr>
        <w:t xml:space="preserve"> See NJ Department of the Treasury, </w:t>
      </w:r>
      <w:hyperlink r:id="rId12" w:history="1">
        <w:r w:rsidRPr="00F33085">
          <w:rPr>
            <w:rStyle w:val="Hyperlink"/>
            <w:rFonts w:ascii="Times New Roman" w:hAnsi="Times New Roman" w:cs="Times New Roman"/>
          </w:rPr>
          <w:t xml:space="preserve">Realty Transfer Fee: Statistical Report for Fiscal Years Through FY 2025 </w:t>
        </w:r>
      </w:hyperlink>
      <w:r w:rsidRPr="00F33085">
        <w:rPr>
          <w:rFonts w:ascii="Times New Roman" w:hAnsi="Times New Roman" w:cs="Times New Roman"/>
        </w:rPr>
        <w:t xml:space="preserve">and Insider NJ, </w:t>
      </w:r>
      <w:hyperlink r:id="rId13" w:history="1">
        <w:r w:rsidRPr="00F33085">
          <w:rPr>
            <w:rStyle w:val="Hyperlink"/>
            <w:rFonts w:ascii="Times New Roman" w:hAnsi="Times New Roman" w:cs="Times New Roman"/>
          </w:rPr>
          <w:t>Housing Advocates Raise Alarm, As State Budget Continues to Limit Affordable Home Building</w:t>
        </w:r>
      </w:hyperlink>
      <w:r w:rsidRPr="00F33085">
        <w:rPr>
          <w:rFonts w:ascii="Times New Roman" w:hAnsi="Times New Roman" w:cs="Times New Roman"/>
        </w:rPr>
        <w:t xml:space="preserve"> (2026).</w:t>
      </w:r>
    </w:p>
  </w:footnote>
  <w:footnote w:id="18">
    <w:p w14:paraId="063B4A7E" w14:textId="77777777" w:rsidR="00FE1748" w:rsidRPr="00B3488B" w:rsidRDefault="00FE1748" w:rsidP="00FE1748">
      <w:pPr>
        <w:pStyle w:val="FootnoteText"/>
        <w:rPr>
          <w:rFonts w:ascii="Times New Roman" w:hAnsi="Times New Roman" w:cs="Times New Roman"/>
        </w:rPr>
      </w:pPr>
      <w:r w:rsidRPr="00B3488B">
        <w:rPr>
          <w:rStyle w:val="FootnoteReference"/>
          <w:rFonts w:ascii="Times New Roman" w:hAnsi="Times New Roman" w:cs="Times New Roman"/>
        </w:rPr>
        <w:footnoteRef/>
      </w:r>
      <w:r w:rsidRPr="00B3488B">
        <w:rPr>
          <w:rFonts w:ascii="Times New Roman" w:hAnsi="Times New Roman" w:cs="Times New Roman"/>
        </w:rPr>
        <w:t xml:space="preserve"> See National Housing Conference, </w:t>
      </w:r>
      <w:hyperlink r:id="rId14" w:history="1">
        <w:r w:rsidRPr="00B3488B">
          <w:rPr>
            <w:rStyle w:val="Hyperlink"/>
            <w:rFonts w:ascii="Times New Roman" w:hAnsi="Times New Roman" w:cs="Times New Roman"/>
          </w:rPr>
          <w:t>Shared Equity Models of Homeownership</w:t>
        </w:r>
      </w:hyperlink>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E091" w14:textId="77777777" w:rsidR="00982991" w:rsidRDefault="00982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9C715" w14:textId="4CE046EA" w:rsidR="001B5F9C" w:rsidRDefault="001B5F9C">
    <w:pPr>
      <w:pStyle w:val="Header"/>
    </w:pPr>
    <w:r>
      <w:rPr>
        <w:noProof/>
      </w:rPr>
      <w:drawing>
        <wp:inline distT="0" distB="0" distL="0" distR="0" wp14:anchorId="637A9B9A" wp14:editId="17D1F946">
          <wp:extent cx="879231" cy="879231"/>
          <wp:effectExtent l="0" t="0" r="0" b="0"/>
          <wp:docPr id="1500707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70790" name="Picture 150070790"/>
                  <pic:cNvPicPr/>
                </pic:nvPicPr>
                <pic:blipFill>
                  <a:blip r:embed="rId1">
                    <a:extLst>
                      <a:ext uri="{28A0092B-C50C-407E-A947-70E740481C1C}">
                        <a14:useLocalDpi xmlns:a14="http://schemas.microsoft.com/office/drawing/2010/main" val="0"/>
                      </a:ext>
                    </a:extLst>
                  </a:blip>
                  <a:stretch>
                    <a:fillRect/>
                  </a:stretch>
                </pic:blipFill>
                <pic:spPr>
                  <a:xfrm>
                    <a:off x="0" y="0"/>
                    <a:ext cx="886782" cy="886782"/>
                  </a:xfrm>
                  <a:prstGeom prst="rect">
                    <a:avLst/>
                  </a:prstGeom>
                </pic:spPr>
              </pic:pic>
            </a:graphicData>
          </a:graphic>
        </wp:inline>
      </w:drawing>
    </w:r>
  </w:p>
  <w:p w14:paraId="701F55ED" w14:textId="77777777" w:rsidR="001B5F9C" w:rsidRDefault="001B5F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BC222" w14:textId="77777777" w:rsidR="00982991" w:rsidRDefault="009829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7056"/>
    <w:multiLevelType w:val="multilevel"/>
    <w:tmpl w:val="C408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A06A3"/>
    <w:multiLevelType w:val="multilevel"/>
    <w:tmpl w:val="A8902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1C1C1A"/>
    <w:multiLevelType w:val="multilevel"/>
    <w:tmpl w:val="712AB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B1C33"/>
    <w:multiLevelType w:val="multilevel"/>
    <w:tmpl w:val="147A0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8535E6"/>
    <w:multiLevelType w:val="multilevel"/>
    <w:tmpl w:val="FFF2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F41E7F"/>
    <w:multiLevelType w:val="multilevel"/>
    <w:tmpl w:val="35F0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D0C36"/>
    <w:multiLevelType w:val="multilevel"/>
    <w:tmpl w:val="5D249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D338F"/>
    <w:multiLevelType w:val="multilevel"/>
    <w:tmpl w:val="811C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7C0917"/>
    <w:multiLevelType w:val="multilevel"/>
    <w:tmpl w:val="C44AD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141D11"/>
    <w:multiLevelType w:val="multilevel"/>
    <w:tmpl w:val="BE7C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6C7061"/>
    <w:multiLevelType w:val="multilevel"/>
    <w:tmpl w:val="EF4C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FD3B97"/>
    <w:multiLevelType w:val="multilevel"/>
    <w:tmpl w:val="B07E4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50788D"/>
    <w:multiLevelType w:val="multilevel"/>
    <w:tmpl w:val="24901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064ABA"/>
    <w:multiLevelType w:val="multilevel"/>
    <w:tmpl w:val="04EC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6C1A84"/>
    <w:multiLevelType w:val="multilevel"/>
    <w:tmpl w:val="FB3A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5D3654"/>
    <w:multiLevelType w:val="multilevel"/>
    <w:tmpl w:val="DAE4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621C7D"/>
    <w:multiLevelType w:val="multilevel"/>
    <w:tmpl w:val="334C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B16B84"/>
    <w:multiLevelType w:val="multilevel"/>
    <w:tmpl w:val="D04A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B4096A"/>
    <w:multiLevelType w:val="multilevel"/>
    <w:tmpl w:val="D74C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977C45"/>
    <w:multiLevelType w:val="multilevel"/>
    <w:tmpl w:val="7146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295229"/>
    <w:multiLevelType w:val="multilevel"/>
    <w:tmpl w:val="5A06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8717715">
    <w:abstractNumId w:val="13"/>
  </w:num>
  <w:num w:numId="2" w16cid:durableId="67309937">
    <w:abstractNumId w:val="19"/>
  </w:num>
  <w:num w:numId="3" w16cid:durableId="1188327581">
    <w:abstractNumId w:val="16"/>
  </w:num>
  <w:num w:numId="4" w16cid:durableId="135951315">
    <w:abstractNumId w:val="0"/>
  </w:num>
  <w:num w:numId="5" w16cid:durableId="205026044">
    <w:abstractNumId w:val="10"/>
  </w:num>
  <w:num w:numId="6" w16cid:durableId="2135757012">
    <w:abstractNumId w:val="1"/>
  </w:num>
  <w:num w:numId="7" w16cid:durableId="1226798850">
    <w:abstractNumId w:val="17"/>
  </w:num>
  <w:num w:numId="8" w16cid:durableId="1088889121">
    <w:abstractNumId w:val="4"/>
  </w:num>
  <w:num w:numId="9" w16cid:durableId="1574046191">
    <w:abstractNumId w:val="7"/>
  </w:num>
  <w:num w:numId="10" w16cid:durableId="1792553775">
    <w:abstractNumId w:val="18"/>
  </w:num>
  <w:num w:numId="11" w16cid:durableId="1095438444">
    <w:abstractNumId w:val="14"/>
  </w:num>
  <w:num w:numId="12" w16cid:durableId="179703906">
    <w:abstractNumId w:val="11"/>
  </w:num>
  <w:num w:numId="13" w16cid:durableId="1660158713">
    <w:abstractNumId w:val="9"/>
  </w:num>
  <w:num w:numId="14" w16cid:durableId="29577679">
    <w:abstractNumId w:val="8"/>
  </w:num>
  <w:num w:numId="15" w16cid:durableId="1089352537">
    <w:abstractNumId w:val="12"/>
  </w:num>
  <w:num w:numId="16" w16cid:durableId="1854029767">
    <w:abstractNumId w:val="5"/>
  </w:num>
  <w:num w:numId="17" w16cid:durableId="2134445818">
    <w:abstractNumId w:val="20"/>
  </w:num>
  <w:num w:numId="18" w16cid:durableId="137579832">
    <w:abstractNumId w:val="15"/>
  </w:num>
  <w:num w:numId="19" w16cid:durableId="950548383">
    <w:abstractNumId w:val="6"/>
  </w:num>
  <w:num w:numId="20" w16cid:durableId="1047071837">
    <w:abstractNumId w:val="3"/>
  </w:num>
  <w:num w:numId="21" w16cid:durableId="5045893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F9C"/>
    <w:rsid w:val="000207E2"/>
    <w:rsid w:val="001B5F9C"/>
    <w:rsid w:val="001F04B2"/>
    <w:rsid w:val="002438F8"/>
    <w:rsid w:val="002866F8"/>
    <w:rsid w:val="00325972"/>
    <w:rsid w:val="003A4281"/>
    <w:rsid w:val="00446080"/>
    <w:rsid w:val="0046575A"/>
    <w:rsid w:val="00467EB2"/>
    <w:rsid w:val="0049606A"/>
    <w:rsid w:val="004E0843"/>
    <w:rsid w:val="00650537"/>
    <w:rsid w:val="006C6868"/>
    <w:rsid w:val="008B62FA"/>
    <w:rsid w:val="008D5798"/>
    <w:rsid w:val="008E796D"/>
    <w:rsid w:val="0094143A"/>
    <w:rsid w:val="00982991"/>
    <w:rsid w:val="009C2DB5"/>
    <w:rsid w:val="00A71A3A"/>
    <w:rsid w:val="00B14FFF"/>
    <w:rsid w:val="00BF54DC"/>
    <w:rsid w:val="00C8608C"/>
    <w:rsid w:val="00C95C37"/>
    <w:rsid w:val="00D652DF"/>
    <w:rsid w:val="00E04685"/>
    <w:rsid w:val="00ED490D"/>
    <w:rsid w:val="00EE40B4"/>
    <w:rsid w:val="00F95E96"/>
    <w:rsid w:val="00F96BEB"/>
    <w:rsid w:val="00FE1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6FDDD"/>
  <w15:chartTrackingRefBased/>
  <w15:docId w15:val="{6BA6D0FA-A470-4A4A-A7C6-0212D00A8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F9C"/>
    <w:pPr>
      <w:spacing w:line="300" w:lineRule="atLeast"/>
    </w:pPr>
    <w:rPr>
      <w:rFonts w:ascii="Aptos" w:hAnsi="Aptos"/>
      <w:sz w:val="22"/>
    </w:rPr>
  </w:style>
  <w:style w:type="paragraph" w:styleId="Heading1">
    <w:name w:val="heading 1"/>
    <w:basedOn w:val="Normal"/>
    <w:next w:val="Normal"/>
    <w:link w:val="Heading1Char"/>
    <w:uiPriority w:val="9"/>
    <w:qFormat/>
    <w:rsid w:val="001B5F9C"/>
    <w:pPr>
      <w:keepNext/>
      <w:keepLines/>
      <w:spacing w:before="320" w:after="120" w:line="400" w:lineRule="atLeast"/>
      <w:outlineLvl w:val="0"/>
    </w:pPr>
    <w:rPr>
      <w:rFonts w:ascii="Aptos Display" w:eastAsiaTheme="majorEastAsia" w:hAnsi="Aptos Display" w:cstheme="majorBidi"/>
      <w:b/>
      <w:color w:val="000000"/>
      <w:sz w:val="32"/>
      <w:szCs w:val="40"/>
    </w:rPr>
  </w:style>
  <w:style w:type="paragraph" w:styleId="Heading2">
    <w:name w:val="heading 2"/>
    <w:basedOn w:val="Normal"/>
    <w:next w:val="Normal"/>
    <w:link w:val="Heading2Char"/>
    <w:uiPriority w:val="9"/>
    <w:unhideWhenUsed/>
    <w:qFormat/>
    <w:rsid w:val="001B5F9C"/>
    <w:pPr>
      <w:keepNext/>
      <w:keepLines/>
      <w:spacing w:before="200" w:after="80" w:line="320" w:lineRule="atLeast"/>
      <w:outlineLvl w:val="1"/>
    </w:pPr>
    <w:rPr>
      <w:rFonts w:ascii="Aptos Display" w:eastAsiaTheme="majorEastAsia" w:hAnsi="Aptos Display" w:cstheme="majorBidi"/>
      <w:b/>
      <w:color w:val="E87500"/>
      <w:sz w:val="24"/>
      <w:szCs w:val="32"/>
    </w:rPr>
  </w:style>
  <w:style w:type="paragraph" w:styleId="Heading3">
    <w:name w:val="heading 3"/>
    <w:basedOn w:val="Normal"/>
    <w:next w:val="Normal"/>
    <w:link w:val="Heading3Char"/>
    <w:uiPriority w:val="9"/>
    <w:unhideWhenUsed/>
    <w:qFormat/>
    <w:rsid w:val="001B5F9C"/>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1B5F9C"/>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1B5F9C"/>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1B5F9C"/>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1B5F9C"/>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1B5F9C"/>
    <w:pPr>
      <w:keepNext/>
      <w:keepLines/>
      <w:spacing w:before="40" w:after="0"/>
      <w:outlineLvl w:val="7"/>
    </w:pPr>
    <w:rPr>
      <w:rFonts w:asciiTheme="majorHAnsi" w:eastAsiaTheme="majorEastAsia" w:hAnsiTheme="majorHAnsi" w:cstheme="majorBidi"/>
      <w:i/>
      <w:iCs/>
      <w:szCs w:val="22"/>
    </w:rPr>
  </w:style>
  <w:style w:type="paragraph" w:styleId="Heading9">
    <w:name w:val="heading 9"/>
    <w:basedOn w:val="Normal"/>
    <w:next w:val="Normal"/>
    <w:link w:val="Heading9Char"/>
    <w:uiPriority w:val="9"/>
    <w:semiHidden/>
    <w:unhideWhenUsed/>
    <w:qFormat/>
    <w:rsid w:val="001B5F9C"/>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F9C"/>
    <w:rPr>
      <w:rFonts w:ascii="Aptos Display" w:eastAsiaTheme="majorEastAsia" w:hAnsi="Aptos Display" w:cstheme="majorBidi"/>
      <w:b/>
      <w:color w:val="000000"/>
      <w:sz w:val="32"/>
      <w:szCs w:val="40"/>
    </w:rPr>
  </w:style>
  <w:style w:type="character" w:customStyle="1" w:styleId="Heading2Char">
    <w:name w:val="Heading 2 Char"/>
    <w:basedOn w:val="DefaultParagraphFont"/>
    <w:link w:val="Heading2"/>
    <w:uiPriority w:val="9"/>
    <w:rsid w:val="001B5F9C"/>
    <w:rPr>
      <w:rFonts w:ascii="Aptos Display" w:eastAsiaTheme="majorEastAsia" w:hAnsi="Aptos Display" w:cstheme="majorBidi"/>
      <w:b/>
      <w:color w:val="E87500"/>
      <w:sz w:val="24"/>
      <w:szCs w:val="32"/>
    </w:rPr>
  </w:style>
  <w:style w:type="character" w:customStyle="1" w:styleId="Heading3Char">
    <w:name w:val="Heading 3 Char"/>
    <w:basedOn w:val="DefaultParagraphFont"/>
    <w:link w:val="Heading3"/>
    <w:uiPriority w:val="9"/>
    <w:rsid w:val="001B5F9C"/>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1B5F9C"/>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1B5F9C"/>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1B5F9C"/>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1B5F9C"/>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1B5F9C"/>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1B5F9C"/>
    <w:rPr>
      <w:b/>
      <w:bCs/>
      <w:i/>
      <w:iCs/>
    </w:rPr>
  </w:style>
  <w:style w:type="paragraph" w:styleId="Title">
    <w:name w:val="Title"/>
    <w:basedOn w:val="Normal"/>
    <w:next w:val="Normal"/>
    <w:link w:val="TitleChar"/>
    <w:uiPriority w:val="10"/>
    <w:qFormat/>
    <w:rsid w:val="001B5F9C"/>
    <w:pPr>
      <w:pBdr>
        <w:top w:val="single" w:sz="6" w:space="8" w:color="4BAF73" w:themeColor="accent3"/>
        <w:bottom w:val="single" w:sz="6" w:space="8" w:color="4BAF73" w:themeColor="accent3"/>
      </w:pBdr>
      <w:spacing w:after="200" w:line="600" w:lineRule="atLeast"/>
      <w:contextualSpacing/>
      <w:jc w:val="center"/>
    </w:pPr>
    <w:rPr>
      <w:rFonts w:ascii="Aptos Display" w:eastAsiaTheme="majorEastAsia" w:hAnsi="Aptos Display" w:cstheme="majorBidi"/>
      <w:b/>
      <w:caps/>
      <w:color w:val="000000"/>
      <w:spacing w:val="30"/>
      <w:sz w:val="52"/>
      <w:szCs w:val="72"/>
    </w:rPr>
  </w:style>
  <w:style w:type="character" w:customStyle="1" w:styleId="TitleChar">
    <w:name w:val="Title Char"/>
    <w:basedOn w:val="DefaultParagraphFont"/>
    <w:link w:val="Title"/>
    <w:uiPriority w:val="10"/>
    <w:rsid w:val="001B5F9C"/>
    <w:rPr>
      <w:rFonts w:ascii="Aptos Display" w:eastAsiaTheme="majorEastAsia" w:hAnsi="Aptos Display" w:cstheme="majorBidi"/>
      <w:b/>
      <w:caps/>
      <w:color w:val="000000"/>
      <w:spacing w:val="30"/>
      <w:sz w:val="52"/>
      <w:szCs w:val="72"/>
    </w:rPr>
  </w:style>
  <w:style w:type="paragraph" w:styleId="Subtitle">
    <w:name w:val="Subtitle"/>
    <w:basedOn w:val="Normal"/>
    <w:next w:val="Normal"/>
    <w:link w:val="SubtitleChar"/>
    <w:uiPriority w:val="11"/>
    <w:qFormat/>
    <w:rsid w:val="001B5F9C"/>
    <w:pPr>
      <w:numPr>
        <w:ilvl w:val="1"/>
      </w:numPr>
      <w:spacing w:line="360" w:lineRule="atLeast"/>
      <w:jc w:val="center"/>
    </w:pPr>
    <w:rPr>
      <w:color w:val="E87500"/>
      <w:sz w:val="28"/>
      <w:szCs w:val="28"/>
    </w:rPr>
  </w:style>
  <w:style w:type="character" w:customStyle="1" w:styleId="SubtitleChar">
    <w:name w:val="Subtitle Char"/>
    <w:basedOn w:val="DefaultParagraphFont"/>
    <w:link w:val="Subtitle"/>
    <w:uiPriority w:val="11"/>
    <w:rsid w:val="001B5F9C"/>
    <w:rPr>
      <w:rFonts w:ascii="Aptos" w:hAnsi="Aptos"/>
      <w:color w:val="E87500"/>
      <w:sz w:val="28"/>
      <w:szCs w:val="28"/>
    </w:rPr>
  </w:style>
  <w:style w:type="paragraph" w:styleId="Quote">
    <w:name w:val="Quote"/>
    <w:basedOn w:val="Normal"/>
    <w:next w:val="Normal"/>
    <w:link w:val="QuoteChar"/>
    <w:uiPriority w:val="29"/>
    <w:qFormat/>
    <w:rsid w:val="001B5F9C"/>
    <w:pPr>
      <w:spacing w:before="160"/>
      <w:ind w:left="720" w:right="720"/>
      <w:jc w:val="center"/>
    </w:pPr>
    <w:rPr>
      <w:i/>
      <w:iCs/>
      <w:color w:val="388256" w:themeColor="accent3" w:themeShade="BF"/>
      <w:sz w:val="24"/>
      <w:szCs w:val="24"/>
    </w:rPr>
  </w:style>
  <w:style w:type="character" w:customStyle="1" w:styleId="QuoteChar">
    <w:name w:val="Quote Char"/>
    <w:basedOn w:val="DefaultParagraphFont"/>
    <w:link w:val="Quote"/>
    <w:uiPriority w:val="29"/>
    <w:rsid w:val="001B5F9C"/>
    <w:rPr>
      <w:i/>
      <w:iCs/>
      <w:color w:val="388256" w:themeColor="accent3" w:themeShade="BF"/>
      <w:sz w:val="24"/>
      <w:szCs w:val="24"/>
    </w:rPr>
  </w:style>
  <w:style w:type="paragraph" w:styleId="ListParagraph">
    <w:name w:val="List Paragraph"/>
    <w:basedOn w:val="Normal"/>
    <w:uiPriority w:val="34"/>
    <w:qFormat/>
    <w:rsid w:val="001B5F9C"/>
    <w:pPr>
      <w:ind w:left="720"/>
      <w:contextualSpacing/>
    </w:pPr>
  </w:style>
  <w:style w:type="character" w:styleId="IntenseEmphasis">
    <w:name w:val="Intense Emphasis"/>
    <w:basedOn w:val="DefaultParagraphFont"/>
    <w:uiPriority w:val="21"/>
    <w:qFormat/>
    <w:rsid w:val="001B5F9C"/>
    <w:rPr>
      <w:b/>
      <w:bCs/>
      <w:i/>
      <w:iCs/>
      <w:color w:val="auto"/>
    </w:rPr>
  </w:style>
  <w:style w:type="paragraph" w:styleId="IntenseQuote">
    <w:name w:val="Intense Quote"/>
    <w:basedOn w:val="Normal"/>
    <w:next w:val="Normal"/>
    <w:link w:val="IntenseQuoteChar"/>
    <w:uiPriority w:val="30"/>
    <w:qFormat/>
    <w:rsid w:val="001B5F9C"/>
    <w:pPr>
      <w:spacing w:before="160" w:line="276" w:lineRule="auto"/>
      <w:ind w:left="936" w:right="936"/>
      <w:jc w:val="center"/>
    </w:pPr>
    <w:rPr>
      <w:rFonts w:asciiTheme="majorHAnsi" w:eastAsiaTheme="majorEastAsia" w:hAnsiTheme="majorHAnsi" w:cstheme="majorBidi"/>
      <w:caps/>
      <w:color w:val="B76E0B" w:themeColor="accent1" w:themeShade="BF"/>
      <w:sz w:val="28"/>
      <w:szCs w:val="28"/>
    </w:rPr>
  </w:style>
  <w:style w:type="character" w:customStyle="1" w:styleId="IntenseQuoteChar">
    <w:name w:val="Intense Quote Char"/>
    <w:basedOn w:val="DefaultParagraphFont"/>
    <w:link w:val="IntenseQuote"/>
    <w:uiPriority w:val="30"/>
    <w:rsid w:val="001B5F9C"/>
    <w:rPr>
      <w:rFonts w:asciiTheme="majorHAnsi" w:eastAsiaTheme="majorEastAsia" w:hAnsiTheme="majorHAnsi" w:cstheme="majorBidi"/>
      <w:caps/>
      <w:color w:val="B76E0B" w:themeColor="accent1" w:themeShade="BF"/>
      <w:sz w:val="28"/>
      <w:szCs w:val="28"/>
    </w:rPr>
  </w:style>
  <w:style w:type="character" w:styleId="IntenseReference">
    <w:name w:val="Intense Reference"/>
    <w:basedOn w:val="DefaultParagraphFont"/>
    <w:uiPriority w:val="32"/>
    <w:qFormat/>
    <w:rsid w:val="001B5F9C"/>
    <w:rPr>
      <w:b/>
      <w:bCs/>
      <w:caps w:val="0"/>
      <w:smallCaps/>
      <w:color w:val="auto"/>
      <w:spacing w:val="0"/>
      <w:u w:val="single"/>
    </w:rPr>
  </w:style>
  <w:style w:type="paragraph" w:styleId="Header">
    <w:name w:val="header"/>
    <w:basedOn w:val="Normal"/>
    <w:link w:val="HeaderChar"/>
    <w:uiPriority w:val="99"/>
    <w:unhideWhenUsed/>
    <w:rsid w:val="001B5F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F9C"/>
  </w:style>
  <w:style w:type="paragraph" w:styleId="Footer">
    <w:name w:val="footer"/>
    <w:basedOn w:val="Normal"/>
    <w:link w:val="FooterChar"/>
    <w:uiPriority w:val="99"/>
    <w:unhideWhenUsed/>
    <w:rsid w:val="001B5F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F9C"/>
  </w:style>
  <w:style w:type="paragraph" w:styleId="Caption">
    <w:name w:val="caption"/>
    <w:basedOn w:val="Normal"/>
    <w:next w:val="Normal"/>
    <w:uiPriority w:val="35"/>
    <w:semiHidden/>
    <w:unhideWhenUsed/>
    <w:qFormat/>
    <w:rsid w:val="001B5F9C"/>
    <w:pPr>
      <w:spacing w:line="240" w:lineRule="auto"/>
    </w:pPr>
    <w:rPr>
      <w:b/>
      <w:bCs/>
      <w:color w:val="404040" w:themeColor="text1" w:themeTint="BF"/>
      <w:sz w:val="16"/>
      <w:szCs w:val="16"/>
    </w:rPr>
  </w:style>
  <w:style w:type="character" w:styleId="Strong">
    <w:name w:val="Strong"/>
    <w:basedOn w:val="DefaultParagraphFont"/>
    <w:uiPriority w:val="22"/>
    <w:qFormat/>
    <w:rsid w:val="001B5F9C"/>
    <w:rPr>
      <w:b/>
      <w:bCs/>
    </w:rPr>
  </w:style>
  <w:style w:type="character" w:styleId="Emphasis">
    <w:name w:val="Emphasis"/>
    <w:basedOn w:val="DefaultParagraphFont"/>
    <w:uiPriority w:val="20"/>
    <w:qFormat/>
    <w:rsid w:val="001B5F9C"/>
    <w:rPr>
      <w:i/>
      <w:iCs/>
      <w:color w:val="000000" w:themeColor="text1"/>
    </w:rPr>
  </w:style>
  <w:style w:type="paragraph" w:styleId="NoSpacing">
    <w:name w:val="No Spacing"/>
    <w:uiPriority w:val="1"/>
    <w:qFormat/>
    <w:rsid w:val="001B5F9C"/>
    <w:pPr>
      <w:spacing w:after="0" w:line="240" w:lineRule="auto"/>
    </w:pPr>
  </w:style>
  <w:style w:type="character" w:styleId="SubtleEmphasis">
    <w:name w:val="Subtle Emphasis"/>
    <w:basedOn w:val="DefaultParagraphFont"/>
    <w:uiPriority w:val="19"/>
    <w:qFormat/>
    <w:rsid w:val="001B5F9C"/>
    <w:rPr>
      <w:i/>
      <w:iCs/>
      <w:color w:val="595959" w:themeColor="text1" w:themeTint="A6"/>
    </w:rPr>
  </w:style>
  <w:style w:type="character" w:styleId="SubtleReference">
    <w:name w:val="Subtle Reference"/>
    <w:basedOn w:val="DefaultParagraphFont"/>
    <w:uiPriority w:val="31"/>
    <w:qFormat/>
    <w:rsid w:val="001B5F9C"/>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1B5F9C"/>
    <w:rPr>
      <w:b/>
      <w:bCs/>
      <w:caps w:val="0"/>
      <w:smallCaps/>
      <w:spacing w:val="0"/>
    </w:rPr>
  </w:style>
  <w:style w:type="paragraph" w:styleId="TOCHeading">
    <w:name w:val="TOC Heading"/>
    <w:basedOn w:val="Heading1"/>
    <w:next w:val="Normal"/>
    <w:uiPriority w:val="39"/>
    <w:semiHidden/>
    <w:unhideWhenUsed/>
    <w:qFormat/>
    <w:rsid w:val="001B5F9C"/>
    <w:pPr>
      <w:outlineLvl w:val="9"/>
    </w:pPr>
  </w:style>
  <w:style w:type="paragraph" w:styleId="NormalWeb">
    <w:name w:val="Normal (Web)"/>
    <w:basedOn w:val="Normal"/>
    <w:uiPriority w:val="99"/>
    <w:semiHidden/>
    <w:unhideWhenUsed/>
    <w:rsid w:val="00982991"/>
    <w:pPr>
      <w:spacing w:before="100" w:beforeAutospacing="1" w:after="100" w:afterAutospacing="1" w:line="240" w:lineRule="auto"/>
    </w:pPr>
    <w:rPr>
      <w:rFonts w:ascii="Times New Roman" w:hAnsi="Times New Roman" w:cs="Times New Roman"/>
      <w:kern w:val="2"/>
      <w:sz w:val="24"/>
      <w:szCs w:val="24"/>
      <w14:ligatures w14:val="standardContextual"/>
    </w:rPr>
  </w:style>
  <w:style w:type="paragraph" w:styleId="TOC1">
    <w:name w:val="toc 1"/>
    <w:basedOn w:val="Normal"/>
    <w:next w:val="Normal"/>
    <w:autoRedefine/>
    <w:uiPriority w:val="39"/>
    <w:semiHidden/>
    <w:unhideWhenUsed/>
    <w:rsid w:val="00A71A3A"/>
    <w:pPr>
      <w:spacing w:after="100"/>
    </w:pPr>
  </w:style>
  <w:style w:type="character" w:styleId="Hyperlink">
    <w:name w:val="Hyperlink"/>
    <w:basedOn w:val="DefaultParagraphFont"/>
    <w:uiPriority w:val="99"/>
    <w:unhideWhenUsed/>
    <w:rsid w:val="00FE1748"/>
    <w:rPr>
      <w:color w:val="FFAE3E" w:themeColor="hyperlink"/>
      <w:u w:val="single"/>
    </w:rPr>
  </w:style>
  <w:style w:type="paragraph" w:customStyle="1" w:styleId="origin-typography">
    <w:name w:val="origin-typography"/>
    <w:basedOn w:val="Normal"/>
    <w:rsid w:val="00FE1748"/>
    <w:pPr>
      <w:spacing w:before="100" w:beforeAutospacing="1" w:after="100" w:afterAutospacing="1" w:line="240" w:lineRule="auto"/>
    </w:pPr>
    <w:rPr>
      <w:rFonts w:ascii="Times New Roman" w:eastAsia="Times New Roman" w:hAnsi="Times New Roman" w:cs="Times New Roman"/>
      <w:sz w:val="24"/>
      <w:szCs w:val="24"/>
    </w:rPr>
  </w:style>
  <w:style w:type="table" w:styleId="ListTable7Colorful-Accent1">
    <w:name w:val="List Table 7 Colorful Accent 1"/>
    <w:basedOn w:val="TableNormal"/>
    <w:uiPriority w:val="52"/>
    <w:rsid w:val="00FE1748"/>
    <w:pPr>
      <w:spacing w:after="0" w:line="240" w:lineRule="auto"/>
    </w:pPr>
    <w:rPr>
      <w:color w:val="B76E0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941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941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941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9415" w:themeColor="accent1"/>
        </w:tcBorders>
        <w:shd w:val="clear" w:color="auto" w:fill="FFFFFF" w:themeFill="background1"/>
      </w:tcPr>
    </w:tblStylePr>
    <w:tblStylePr w:type="band1Vert">
      <w:tblPr/>
      <w:tcPr>
        <w:shd w:val="clear" w:color="auto" w:fill="FCE9D0" w:themeFill="accent1" w:themeFillTint="33"/>
      </w:tcPr>
    </w:tblStylePr>
    <w:tblStylePr w:type="band1Horz">
      <w:tblPr/>
      <w:tcPr>
        <w:shd w:val="clear" w:color="auto" w:fill="FCE9D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ootnoteText">
    <w:name w:val="footnote text"/>
    <w:basedOn w:val="Normal"/>
    <w:link w:val="FootnoteTextChar"/>
    <w:uiPriority w:val="99"/>
    <w:semiHidden/>
    <w:unhideWhenUsed/>
    <w:rsid w:val="00FE1748"/>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FE1748"/>
    <w:rPr>
      <w:sz w:val="20"/>
      <w:szCs w:val="20"/>
    </w:rPr>
  </w:style>
  <w:style w:type="character" w:styleId="FootnoteReference">
    <w:name w:val="footnote reference"/>
    <w:basedOn w:val="DefaultParagraphFont"/>
    <w:uiPriority w:val="99"/>
    <w:semiHidden/>
    <w:unhideWhenUsed/>
    <w:rsid w:val="00FE17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nhc.org/policy-guide/shared-equity-homeownership-the-basics/shared-equity-models-of-ownership/" TargetMode="External"/><Relationship Id="rId13" Type="http://schemas.openxmlformats.org/officeDocument/2006/relationships/hyperlink" Target="https://www.insidernj.com/press-release/housing-advocates-raise-alarm-as-state-budget-continues-to-limit-affordable-home-building/" TargetMode="External"/><Relationship Id="rId3" Type="http://schemas.openxmlformats.org/officeDocument/2006/relationships/hyperlink" Target="https://www.nj.gov/dca/hmfa/homebuyers-and-renters/docs/FTHB-ConsumerFactSheet.pdf" TargetMode="External"/><Relationship Id="rId7" Type="http://schemas.openxmlformats.org/officeDocument/2006/relationships/hyperlink" Target="https://www.insidernj.com/press-release/housing-advocates-raise-alarm-as-state-budget-continues-to-limit-affordable-home-building/" TargetMode="External"/><Relationship Id="rId12" Type="http://schemas.openxmlformats.org/officeDocument/2006/relationships/hyperlink" Target="https://www.nj.gov/treasury/economics/documents/pdf/stats/RTF-Statistical-Report.pdf" TargetMode="External"/><Relationship Id="rId2" Type="http://schemas.openxmlformats.org/officeDocument/2006/relationships/hyperlink" Target="https://data.census.gov/" TargetMode="External"/><Relationship Id="rId1" Type="http://schemas.openxmlformats.org/officeDocument/2006/relationships/hyperlink" Target="https://www.nj.gov/dca/hmfa/homebuyers-and-renters/homebuyers/" TargetMode="External"/><Relationship Id="rId6" Type="http://schemas.openxmlformats.org/officeDocument/2006/relationships/hyperlink" Target="https://www.nj.gov/treasury/economics/documents/pdf/stats/RTF-Statistical-Report.pdf" TargetMode="External"/><Relationship Id="rId11" Type="http://schemas.openxmlformats.org/officeDocument/2006/relationships/hyperlink" Target="https://njisj.org/press_releases/new-jersey-racial-wealth-gap-over-600000-says-new-institute-report/" TargetMode="External"/><Relationship Id="rId5" Type="http://schemas.openxmlformats.org/officeDocument/2006/relationships/hyperlink" Target="https://njisj.org/press_releases/new-jersey-racial-wealth-gap-over-600000-says-new-institute-report/" TargetMode="External"/><Relationship Id="rId10" Type="http://schemas.openxmlformats.org/officeDocument/2006/relationships/hyperlink" Target="https://jimmymortgage.com/blog/njhmfa-income-limits-by-county-2026/" TargetMode="External"/><Relationship Id="rId4" Type="http://schemas.openxmlformats.org/officeDocument/2006/relationships/hyperlink" Target="https://jimmymortgage.com/blog/njhmfa-income-limits-by-county-2026/" TargetMode="External"/><Relationship Id="rId9" Type="http://schemas.openxmlformats.org/officeDocument/2006/relationships/hyperlink" Target="https://www.nj.gov/dca/hmfa/homebuyers-and-renters/docs/FTHB-ConsumerFactSheet.pdf" TargetMode="External"/><Relationship Id="rId14" Type="http://schemas.openxmlformats.org/officeDocument/2006/relationships/hyperlink" Target="https://nhc.org/policy-guide/shared-equity-homeownership-the-basics/shared-equity-models-of-ownership/"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Median Home Value</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Sheet1!$A$2:$A$11</c:f>
              <c:strCache>
                <c:ptCount val="10"/>
                <c:pt idx="0">
                  <c:v>Bergen</c:v>
                </c:pt>
                <c:pt idx="1">
                  <c:v>Monmouth</c:v>
                </c:pt>
                <c:pt idx="2">
                  <c:v>Cape May</c:v>
                </c:pt>
                <c:pt idx="3">
                  <c:v>Hudson</c:v>
                </c:pt>
                <c:pt idx="4">
                  <c:v>Morris</c:v>
                </c:pt>
                <c:pt idx="5">
                  <c:v>Essex</c:v>
                </c:pt>
                <c:pt idx="6">
                  <c:v>Sussex</c:v>
                </c:pt>
                <c:pt idx="7">
                  <c:v>Union</c:v>
                </c:pt>
                <c:pt idx="8">
                  <c:v>Passaic</c:v>
                </c:pt>
                <c:pt idx="9">
                  <c:v>Somerset</c:v>
                </c:pt>
              </c:strCache>
            </c:strRef>
          </c:cat>
          <c:val>
            <c:numRef>
              <c:f>Sheet1!$B$2:$B$11</c:f>
              <c:numCache>
                <c:formatCode>"$"#,##0_);[Red]\("$"#,##0\)</c:formatCode>
                <c:ptCount val="10"/>
                <c:pt idx="0">
                  <c:v>760000</c:v>
                </c:pt>
                <c:pt idx="1">
                  <c:v>695375</c:v>
                </c:pt>
                <c:pt idx="2">
                  <c:v>694000</c:v>
                </c:pt>
                <c:pt idx="3">
                  <c:v>674917</c:v>
                </c:pt>
                <c:pt idx="4">
                  <c:v>668833</c:v>
                </c:pt>
                <c:pt idx="5">
                  <c:v>638333</c:v>
                </c:pt>
                <c:pt idx="6">
                  <c:v>638333</c:v>
                </c:pt>
                <c:pt idx="7">
                  <c:v>628167</c:v>
                </c:pt>
                <c:pt idx="8">
                  <c:v>606000</c:v>
                </c:pt>
                <c:pt idx="9">
                  <c:v>578833</c:v>
                </c:pt>
              </c:numCache>
            </c:numRef>
          </c:val>
          <c:extLst>
            <c:ext xmlns:c16="http://schemas.microsoft.com/office/drawing/2014/chart" uri="{C3380CC4-5D6E-409C-BE32-E72D297353CC}">
              <c16:uniqueId val="{00000000-A1CF-4DDA-944D-F8BA50B695C6}"/>
            </c:ext>
          </c:extLst>
        </c:ser>
        <c:dLbls>
          <c:dLblPos val="outEnd"/>
          <c:showLegendKey val="0"/>
          <c:showVal val="1"/>
          <c:showCatName val="0"/>
          <c:showSerName val="0"/>
          <c:showPercent val="0"/>
          <c:showBubbleSize val="0"/>
        </c:dLbls>
        <c:gapWidth val="355"/>
        <c:overlap val="-70"/>
        <c:axId val="1811895999"/>
        <c:axId val="1638067759"/>
      </c:barChart>
      <c:catAx>
        <c:axId val="18118959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38067759"/>
        <c:crosses val="autoZero"/>
        <c:auto val="1"/>
        <c:lblAlgn val="ctr"/>
        <c:lblOffset val="100"/>
        <c:noMultiLvlLbl val="0"/>
      </c:catAx>
      <c:valAx>
        <c:axId val="1638067759"/>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118959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Median Home Value</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Sheet1!$A$2:$A$11</c:f>
              <c:strCache>
                <c:ptCount val="10"/>
                <c:pt idx="0">
                  <c:v>Bergen</c:v>
                </c:pt>
                <c:pt idx="1">
                  <c:v>Monmouth</c:v>
                </c:pt>
                <c:pt idx="2">
                  <c:v>Cape May</c:v>
                </c:pt>
                <c:pt idx="3">
                  <c:v>Hudson</c:v>
                </c:pt>
                <c:pt idx="4">
                  <c:v>Morris</c:v>
                </c:pt>
                <c:pt idx="5">
                  <c:v>Essex</c:v>
                </c:pt>
                <c:pt idx="6">
                  <c:v>Sussex</c:v>
                </c:pt>
                <c:pt idx="7">
                  <c:v>Union</c:v>
                </c:pt>
                <c:pt idx="8">
                  <c:v>Passaic</c:v>
                </c:pt>
                <c:pt idx="9">
                  <c:v>Somerset</c:v>
                </c:pt>
              </c:strCache>
            </c:strRef>
          </c:cat>
          <c:val>
            <c:numRef>
              <c:f>Sheet1!$B$2:$B$11</c:f>
              <c:numCache>
                <c:formatCode>"$"#,##0_);[Red]\("$"#,##0\)</c:formatCode>
                <c:ptCount val="10"/>
                <c:pt idx="0">
                  <c:v>760000</c:v>
                </c:pt>
                <c:pt idx="1">
                  <c:v>695375</c:v>
                </c:pt>
                <c:pt idx="2">
                  <c:v>694000</c:v>
                </c:pt>
                <c:pt idx="3">
                  <c:v>674917</c:v>
                </c:pt>
                <c:pt idx="4">
                  <c:v>668833</c:v>
                </c:pt>
                <c:pt idx="5">
                  <c:v>638333</c:v>
                </c:pt>
                <c:pt idx="6">
                  <c:v>638333</c:v>
                </c:pt>
                <c:pt idx="7">
                  <c:v>628167</c:v>
                </c:pt>
                <c:pt idx="8">
                  <c:v>606000</c:v>
                </c:pt>
                <c:pt idx="9">
                  <c:v>578833</c:v>
                </c:pt>
              </c:numCache>
            </c:numRef>
          </c:val>
          <c:extLst>
            <c:ext xmlns:c16="http://schemas.microsoft.com/office/drawing/2014/chart" uri="{C3380CC4-5D6E-409C-BE32-E72D297353CC}">
              <c16:uniqueId val="{00000000-BF47-4211-BE4F-B0822D08AD3A}"/>
            </c:ext>
          </c:extLst>
        </c:ser>
        <c:dLbls>
          <c:dLblPos val="outEnd"/>
          <c:showLegendKey val="0"/>
          <c:showVal val="1"/>
          <c:showCatName val="0"/>
          <c:showSerName val="0"/>
          <c:showPercent val="0"/>
          <c:showBubbleSize val="0"/>
        </c:dLbls>
        <c:gapWidth val="355"/>
        <c:overlap val="-70"/>
        <c:axId val="1811895999"/>
        <c:axId val="1638067759"/>
      </c:barChart>
      <c:catAx>
        <c:axId val="18118959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38067759"/>
        <c:crosses val="autoZero"/>
        <c:auto val="1"/>
        <c:lblAlgn val="ctr"/>
        <c:lblOffset val="100"/>
        <c:noMultiLvlLbl val="0"/>
      </c:catAx>
      <c:valAx>
        <c:axId val="1638067759"/>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118959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docProps/app.xml><?xml version="1.0" encoding="utf-8"?>
<Properties xmlns="http://schemas.openxmlformats.org/officeDocument/2006/extended-properties" xmlns:vt="http://schemas.openxmlformats.org/officeDocument/2006/docPropsVTypes">
  <Template>Normal</Template>
  <TotalTime>5</TotalTime>
  <Pages>26</Pages>
  <Words>3687</Words>
  <Characters>22239</Characters>
  <Application>Microsoft Office Word</Application>
  <DocSecurity>0</DocSecurity>
  <Lines>1010</Lines>
  <Paragraphs>810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Restrepo</dc:creator>
  <cp:keywords/>
  <dc:description/>
  <cp:lastModifiedBy>John Restrepo</cp:lastModifiedBy>
  <cp:revision>3</cp:revision>
  <dcterms:created xsi:type="dcterms:W3CDTF">2026-09-24T19:24:00Z</dcterms:created>
  <dcterms:modified xsi:type="dcterms:W3CDTF">2026-09-24T19:32:00Z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66634b06-d77e-466c-a1e8-2f948f6a8523</vt:lpwstr>
  </property>
</Properties>
</file>