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B3131" w14:textId="77777777" w:rsidR="00982991" w:rsidRDefault="00982991">
      <w:pPr>
        <w:pStyle w:val="Title"/>
        <w:rPr>
          <w:kern w:val="2"/>
          <w:sz w:val="24"/>
          <w:szCs w:val="24"/>
          <w14:ligatures w14:val="standardContextual"/>
        </w:rPr>
      </w:pPr>
      <w:r>
        <w:t>Public Policy Assessment and Statewide Framework for Tax Abatement Agreements</w:t>
      </w:r>
    </w:p>
    <w:p w14:paraId="6A706776" w14:textId="77777777" w:rsidR="00982991" w:rsidRDefault="00982991">
      <w:pPr>
        <w:pStyle w:val="Subtitle"/>
        <w:rPr>
          <w:kern w:val="2"/>
          <w:sz w:val="24"/>
          <w:szCs w:val="24"/>
          <w14:ligatures w14:val="standardContextual"/>
        </w:rPr>
      </w:pPr>
      <w:r>
        <w:t>Garfield Avenue Redevelopment Project</w:t>
      </w:r>
    </w:p>
    <w:p w14:paraId="5E6B1929" w14:textId="77777777" w:rsidR="00982991" w:rsidRDefault="00982991">
      <w:pPr>
        <w:pStyle w:val="Subtitle"/>
        <w:rPr>
          <w:kern w:val="2"/>
          <w:sz w:val="24"/>
          <w:szCs w:val="24"/>
          <w14:ligatures w14:val="standardContextual"/>
        </w:rPr>
      </w:pPr>
      <w:r>
        <w:t>Phases 1A and 1B</w:t>
      </w:r>
    </w:p>
    <w:p w14:paraId="13B360F6" w14:textId="77777777" w:rsidR="00982991" w:rsidRDefault="00982991">
      <w:pPr>
        <w:spacing w:line="276" w:lineRule="auto"/>
        <w:jc w:val="center"/>
        <w:rPr>
          <w:kern w:val="2"/>
          <w:szCs w:val="22"/>
          <w14:ligatures w14:val="standardContextual"/>
        </w:rPr>
      </w:pPr>
      <w:r>
        <w:t>Prepared by: Friends of Affordable Housing</w:t>
      </w:r>
      <w:r>
        <w:br/>
        <w:t>Date: September 24, 2026</w:t>
      </w:r>
    </w:p>
    <w:p w14:paraId="1622DF86" w14:textId="77777777" w:rsidR="001B5F9C" w:rsidRPr="001B5F9C" w:rsidRDefault="001B5F9C" w:rsidP="001B5F9C">
      <w:pPr>
        <w:spacing w:line="278" w:lineRule="auto"/>
      </w:pPr>
      <w:r w:rsidRPr="001B5F9C">
        <w:pict w14:anchorId="1675D75B">
          <v:rect id="_x0000_i1383" style="width:0;height:1.5pt" o:hralign="center" o:hrstd="t" o:hr="t" fillcolor="#a0a0a0" stroked="f"/>
        </w:pict>
      </w:r>
    </w:p>
    <w:p w14:paraId="6CC1EC71"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t>Executive Summary</w:t>
      </w:r>
    </w:p>
    <w:p w14:paraId="55114ACE" w14:textId="77777777" w:rsidR="001B5F9C" w:rsidRPr="001B5F9C" w:rsidRDefault="001B5F9C" w:rsidP="001B5F9C">
      <w:pPr>
        <w:spacing w:line="278" w:lineRule="auto"/>
      </w:pPr>
      <w:r w:rsidRPr="001B5F9C">
        <w:t>This report provides a preliminary professional assessment of the proposed 30-year Payment in Lieu of Taxes (PILOT) agreement for Phases 1A and 1B of the Garfield Avenue Redevelopment Project in Jersey City.</w:t>
      </w:r>
    </w:p>
    <w:p w14:paraId="136FA791" w14:textId="77777777" w:rsidR="001B5F9C" w:rsidRPr="001B5F9C" w:rsidRDefault="001B5F9C" w:rsidP="001B5F9C">
      <w:pPr>
        <w:spacing w:line="278" w:lineRule="auto"/>
      </w:pPr>
      <w:r w:rsidRPr="001B5F9C">
        <w:t>PILOT agreements and long-term tax exemptions can be effective public policy tools when they advance affordable housing, environmental remediation, infrastructure investment, neighborhood revitalization, and other clearly defined public objectives. However, these agreements represent significant public financial assistance and should not automatically be approved for the maximum allowable term.</w:t>
      </w:r>
    </w:p>
    <w:p w14:paraId="3D7C1A47" w14:textId="77777777" w:rsidR="001B5F9C" w:rsidRPr="001B5F9C" w:rsidRDefault="001B5F9C" w:rsidP="001B5F9C">
      <w:pPr>
        <w:spacing w:line="278" w:lineRule="auto"/>
      </w:pPr>
      <w:r w:rsidRPr="001B5F9C">
        <w:t>The duration and financial structure of every tax abatement should be directly tied to:</w:t>
      </w:r>
    </w:p>
    <w:p w14:paraId="5D08DCE6" w14:textId="77777777" w:rsidR="001B5F9C" w:rsidRPr="001B5F9C" w:rsidRDefault="001B5F9C" w:rsidP="001B5F9C">
      <w:pPr>
        <w:numPr>
          <w:ilvl w:val="0"/>
          <w:numId w:val="5"/>
        </w:numPr>
        <w:spacing w:line="278" w:lineRule="auto"/>
      </w:pPr>
      <w:r w:rsidRPr="001B5F9C">
        <w:t>The project’s demonstrated financial need;</w:t>
      </w:r>
    </w:p>
    <w:p w14:paraId="380F4BDB" w14:textId="77777777" w:rsidR="001B5F9C" w:rsidRPr="001B5F9C" w:rsidRDefault="001B5F9C" w:rsidP="001B5F9C">
      <w:pPr>
        <w:numPr>
          <w:ilvl w:val="0"/>
          <w:numId w:val="5"/>
        </w:numPr>
        <w:spacing w:line="278" w:lineRule="auto"/>
      </w:pPr>
      <w:r w:rsidRPr="001B5F9C">
        <w:t>The value and duration of its affordable housing commitments;</w:t>
      </w:r>
    </w:p>
    <w:p w14:paraId="3DDDE467" w14:textId="77777777" w:rsidR="001B5F9C" w:rsidRPr="001B5F9C" w:rsidRDefault="001B5F9C" w:rsidP="001B5F9C">
      <w:pPr>
        <w:numPr>
          <w:ilvl w:val="0"/>
          <w:numId w:val="5"/>
        </w:numPr>
        <w:spacing w:line="278" w:lineRule="auto"/>
      </w:pPr>
      <w:r w:rsidRPr="001B5F9C">
        <w:t>Extraordinary development or environmental remediation costs;</w:t>
      </w:r>
    </w:p>
    <w:p w14:paraId="04902714" w14:textId="77777777" w:rsidR="001B5F9C" w:rsidRPr="001B5F9C" w:rsidRDefault="001B5F9C" w:rsidP="001B5F9C">
      <w:pPr>
        <w:numPr>
          <w:ilvl w:val="0"/>
          <w:numId w:val="5"/>
        </w:numPr>
        <w:spacing w:line="278" w:lineRule="auto"/>
      </w:pPr>
      <w:r w:rsidRPr="001B5F9C">
        <w:t>The value of public land, infrastructure, and other governmental contributions; and</w:t>
      </w:r>
    </w:p>
    <w:p w14:paraId="2937CDB5" w14:textId="77777777" w:rsidR="001B5F9C" w:rsidRPr="001B5F9C" w:rsidRDefault="001B5F9C" w:rsidP="001B5F9C">
      <w:pPr>
        <w:numPr>
          <w:ilvl w:val="0"/>
          <w:numId w:val="5"/>
        </w:numPr>
        <w:spacing w:line="278" w:lineRule="auto"/>
      </w:pPr>
      <w:r w:rsidRPr="001B5F9C">
        <w:t>The measurable public benefits the project is legally required to deliver.</w:t>
      </w:r>
    </w:p>
    <w:p w14:paraId="5CDB6F5F" w14:textId="77777777" w:rsidR="001B5F9C" w:rsidRPr="001B5F9C" w:rsidRDefault="001B5F9C" w:rsidP="001B5F9C">
      <w:pPr>
        <w:spacing w:line="278" w:lineRule="auto"/>
      </w:pPr>
      <w:r w:rsidRPr="001B5F9C">
        <w:t>The available materials indicate that some level of tax assistance may be necessary for the Garfield Avenue project. However, they do not establish that a 30-year PILOT is the minimum level of assistance required to make the project financially feasible.</w:t>
      </w:r>
    </w:p>
    <w:p w14:paraId="694C6873" w14:textId="77777777" w:rsidR="001B5F9C" w:rsidRPr="001B5F9C" w:rsidRDefault="001B5F9C" w:rsidP="001B5F9C">
      <w:pPr>
        <w:spacing w:line="278" w:lineRule="auto"/>
      </w:pPr>
      <w:r w:rsidRPr="001B5F9C">
        <w:lastRenderedPageBreak/>
        <w:t>This review therefore recommends that Jersey City evaluate shorter PILOT terms, independently verify project costs and financial assumptions, establish periodic financial reviews, and adopt enforceable community benefit requirements.</w:t>
      </w:r>
    </w:p>
    <w:p w14:paraId="334FF4EC" w14:textId="77777777" w:rsidR="001B5F9C" w:rsidRPr="001B5F9C" w:rsidRDefault="001B5F9C" w:rsidP="001B5F9C">
      <w:pPr>
        <w:spacing w:line="278" w:lineRule="auto"/>
      </w:pPr>
      <w:r w:rsidRPr="001B5F9C">
        <w:t>The same principles should form the basis of a standardized statewide policy for evaluating all tax abatements and PILOT agreements in New Jersey. A consistent, transparent, and evidence-based framework would protect taxpayers, strengthen public confidence, and ensure that tax assistance is proportional to the public benefits delivered.</w:t>
      </w:r>
    </w:p>
    <w:p w14:paraId="1D73BFDA" w14:textId="77777777" w:rsidR="001B5F9C" w:rsidRPr="001B5F9C" w:rsidRDefault="001B5F9C" w:rsidP="001B5F9C">
      <w:pPr>
        <w:spacing w:line="278" w:lineRule="auto"/>
      </w:pPr>
      <w:r w:rsidRPr="001B5F9C">
        <w:pict w14:anchorId="41D37DF9">
          <v:rect id="_x0000_i1384" style="width:0;height:1.5pt" o:hralign="center" o:hrstd="t" o:hr="t" fillcolor="#a0a0a0" stroked="f"/>
        </w:pict>
      </w:r>
    </w:p>
    <w:p w14:paraId="3E396325"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t>1. Purpose and Public Policy Standard</w:t>
      </w:r>
    </w:p>
    <w:p w14:paraId="4ECF6EBF" w14:textId="77777777" w:rsidR="001B5F9C" w:rsidRPr="001B5F9C" w:rsidRDefault="001B5F9C" w:rsidP="001B5F9C">
      <w:pPr>
        <w:spacing w:line="278" w:lineRule="auto"/>
      </w:pPr>
      <w:r w:rsidRPr="001B5F9C">
        <w:t>A tax abatement is not simply a private financing arrangement. It is a public economic development investment with long-term consequences for municipal revenues, school funding, infrastructure, housing affordability, and neighborhood development.</w:t>
      </w:r>
    </w:p>
    <w:p w14:paraId="06D87287" w14:textId="77777777" w:rsidR="001B5F9C" w:rsidRPr="001B5F9C" w:rsidRDefault="001B5F9C" w:rsidP="001B5F9C">
      <w:pPr>
        <w:spacing w:line="278" w:lineRule="auto"/>
      </w:pPr>
      <w:r w:rsidRPr="001B5F9C">
        <w:t>Accordingly, every PILOT agreement should satisfy three basic public policy tests:</w:t>
      </w:r>
    </w:p>
    <w:p w14:paraId="38AE500D" w14:textId="77777777" w:rsidR="001B5F9C" w:rsidRPr="001B5F9C" w:rsidRDefault="001B5F9C" w:rsidP="001B5F9C">
      <w:pPr>
        <w:numPr>
          <w:ilvl w:val="0"/>
          <w:numId w:val="6"/>
        </w:numPr>
        <w:spacing w:line="278" w:lineRule="auto"/>
      </w:pPr>
      <w:r w:rsidRPr="001B5F9C">
        <w:t>Necessity: Is the tax assistance required for the project to proceed?</w:t>
      </w:r>
    </w:p>
    <w:p w14:paraId="1241E69B" w14:textId="77777777" w:rsidR="001B5F9C" w:rsidRPr="001B5F9C" w:rsidRDefault="001B5F9C" w:rsidP="001B5F9C">
      <w:pPr>
        <w:numPr>
          <w:ilvl w:val="0"/>
          <w:numId w:val="6"/>
        </w:numPr>
        <w:spacing w:line="278" w:lineRule="auto"/>
      </w:pPr>
      <w:r w:rsidRPr="001B5F9C">
        <w:t xml:space="preserve">Proportionality: </w:t>
      </w:r>
      <w:proofErr w:type="gramStart"/>
      <w:r w:rsidRPr="001B5F9C">
        <w:t>Is</w:t>
      </w:r>
      <w:proofErr w:type="gramEnd"/>
      <w:r w:rsidRPr="001B5F9C">
        <w:t xml:space="preserve"> the amount and duration of assistance proportionate to the project’s verified financial need?</w:t>
      </w:r>
    </w:p>
    <w:p w14:paraId="053880A9" w14:textId="77777777" w:rsidR="001B5F9C" w:rsidRPr="001B5F9C" w:rsidRDefault="001B5F9C" w:rsidP="001B5F9C">
      <w:pPr>
        <w:numPr>
          <w:ilvl w:val="0"/>
          <w:numId w:val="6"/>
        </w:numPr>
        <w:spacing w:line="278" w:lineRule="auto"/>
      </w:pPr>
      <w:r w:rsidRPr="001B5F9C">
        <w:t>Accountability: Are the promised public benefits measurable, enforceable, and subject to continuing public oversight?</w:t>
      </w:r>
    </w:p>
    <w:p w14:paraId="63AC7749" w14:textId="77777777" w:rsidR="001B5F9C" w:rsidRPr="001B5F9C" w:rsidRDefault="001B5F9C" w:rsidP="001B5F9C">
      <w:pPr>
        <w:spacing w:line="278" w:lineRule="auto"/>
      </w:pPr>
      <w:r w:rsidRPr="001B5F9C">
        <w:t>Approval should be based on independent financial evidence rather than the maximum term permitted by law or general claims that a project would not proceed without assistance.</w:t>
      </w:r>
    </w:p>
    <w:p w14:paraId="6A690595" w14:textId="77777777" w:rsidR="001B5F9C" w:rsidRPr="001B5F9C" w:rsidRDefault="001B5F9C" w:rsidP="001B5F9C">
      <w:pPr>
        <w:spacing w:line="278" w:lineRule="auto"/>
      </w:pPr>
      <w:r w:rsidRPr="001B5F9C">
        <w:pict w14:anchorId="699490F9">
          <v:rect id="_x0000_i1385" style="width:0;height:1.5pt" o:hralign="center" o:hrstd="t" o:hr="t" fillcolor="#a0a0a0" stroked="f"/>
        </w:pict>
      </w:r>
    </w:p>
    <w:p w14:paraId="10865E43"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t>2. Project Overview</w:t>
      </w:r>
    </w:p>
    <w:p w14:paraId="01B5EBC9" w14:textId="77777777" w:rsidR="001B5F9C" w:rsidRPr="001B5F9C" w:rsidRDefault="001B5F9C" w:rsidP="001B5F9C">
      <w:pPr>
        <w:spacing w:line="278" w:lineRule="auto"/>
      </w:pPr>
      <w:r w:rsidRPr="001B5F9C">
        <w:t>The Garfield Avenue Redevelopment Project is a large-scale, mixed-use development with the following proposed components:</w:t>
      </w:r>
    </w:p>
    <w:p w14:paraId="3B232702" w14:textId="77777777" w:rsidR="001B5F9C" w:rsidRPr="001B5F9C" w:rsidRDefault="001B5F9C" w:rsidP="001B5F9C">
      <w:pPr>
        <w:numPr>
          <w:ilvl w:val="0"/>
          <w:numId w:val="7"/>
        </w:numPr>
        <w:spacing w:line="278" w:lineRule="auto"/>
      </w:pPr>
      <w:r w:rsidRPr="001B5F9C">
        <w:t>Market-Rate Housing: 508 residential units;</w:t>
      </w:r>
    </w:p>
    <w:p w14:paraId="4E9C38EA" w14:textId="77777777" w:rsidR="001B5F9C" w:rsidRPr="001B5F9C" w:rsidRDefault="001B5F9C" w:rsidP="001B5F9C">
      <w:pPr>
        <w:numPr>
          <w:ilvl w:val="0"/>
          <w:numId w:val="7"/>
        </w:numPr>
        <w:spacing w:line="278" w:lineRule="auto"/>
      </w:pPr>
      <w:r w:rsidRPr="001B5F9C">
        <w:t>Affordable Housing: 102 residential units restricted to households earning no more than 50 percent of Area Median Income;</w:t>
      </w:r>
    </w:p>
    <w:p w14:paraId="5A405AE6" w14:textId="77777777" w:rsidR="001B5F9C" w:rsidRPr="001B5F9C" w:rsidRDefault="001B5F9C" w:rsidP="001B5F9C">
      <w:pPr>
        <w:numPr>
          <w:ilvl w:val="0"/>
          <w:numId w:val="7"/>
        </w:numPr>
        <w:spacing w:line="278" w:lineRule="auto"/>
      </w:pPr>
      <w:r w:rsidRPr="001B5F9C">
        <w:t>Commercial Space: Approximately 18,500 square feet;</w:t>
      </w:r>
    </w:p>
    <w:p w14:paraId="71EC06FD" w14:textId="77777777" w:rsidR="001B5F9C" w:rsidRPr="001B5F9C" w:rsidRDefault="001B5F9C" w:rsidP="001B5F9C">
      <w:pPr>
        <w:numPr>
          <w:ilvl w:val="0"/>
          <w:numId w:val="7"/>
        </w:numPr>
        <w:spacing w:line="278" w:lineRule="auto"/>
      </w:pPr>
      <w:r w:rsidRPr="001B5F9C">
        <w:t>Parking: 285 parking spaces;</w:t>
      </w:r>
    </w:p>
    <w:p w14:paraId="06D50529" w14:textId="77777777" w:rsidR="001B5F9C" w:rsidRPr="001B5F9C" w:rsidRDefault="001B5F9C" w:rsidP="001B5F9C">
      <w:pPr>
        <w:numPr>
          <w:ilvl w:val="0"/>
          <w:numId w:val="7"/>
        </w:numPr>
        <w:spacing w:line="278" w:lineRule="auto"/>
      </w:pPr>
      <w:r w:rsidRPr="001B5F9C">
        <w:lastRenderedPageBreak/>
        <w:t>Building Height: Approximately five to ten stories;</w:t>
      </w:r>
    </w:p>
    <w:p w14:paraId="3533A314" w14:textId="77777777" w:rsidR="001B5F9C" w:rsidRPr="001B5F9C" w:rsidRDefault="001B5F9C" w:rsidP="001B5F9C">
      <w:pPr>
        <w:numPr>
          <w:ilvl w:val="0"/>
          <w:numId w:val="7"/>
        </w:numPr>
        <w:spacing w:line="278" w:lineRule="auto"/>
      </w:pPr>
      <w:r w:rsidRPr="001B5F9C">
        <w:t>Public Open Space: A public park; and</w:t>
      </w:r>
    </w:p>
    <w:p w14:paraId="1903FE0D" w14:textId="77777777" w:rsidR="001B5F9C" w:rsidRPr="001B5F9C" w:rsidRDefault="001B5F9C" w:rsidP="001B5F9C">
      <w:pPr>
        <w:numPr>
          <w:ilvl w:val="0"/>
          <w:numId w:val="7"/>
        </w:numPr>
        <w:spacing w:line="278" w:lineRule="auto"/>
      </w:pPr>
      <w:r w:rsidRPr="001B5F9C">
        <w:t>Infrastructure and Community Improvements: Direct commitments involving Garfield Park and the Morris Canal Greenway.</w:t>
      </w:r>
    </w:p>
    <w:p w14:paraId="4935ECA6" w14:textId="77777777" w:rsidR="001B5F9C" w:rsidRPr="001B5F9C" w:rsidRDefault="001B5F9C" w:rsidP="001B5F9C">
      <w:pPr>
        <w:spacing w:line="278" w:lineRule="auto"/>
      </w:pPr>
      <w:r w:rsidRPr="001B5F9C">
        <w:t>These components could provide substantial environmental, housing, infrastructure, and neighborhood benefits. The public value of those benefits, however, should be clearly documented and incorporated into the City’s evaluation of the proposed PILOT.</w:t>
      </w:r>
    </w:p>
    <w:p w14:paraId="34C4716D" w14:textId="77777777" w:rsidR="001B5F9C" w:rsidRPr="001B5F9C" w:rsidRDefault="001B5F9C" w:rsidP="001B5F9C">
      <w:pPr>
        <w:spacing w:line="278" w:lineRule="auto"/>
      </w:pPr>
      <w:r w:rsidRPr="001B5F9C">
        <w:pict w14:anchorId="038A804B">
          <v:rect id="_x0000_i1386" style="width:0;height:1.5pt" o:hralign="center" o:hrstd="t" o:hr="t" fillcolor="#a0a0a0" stroked="f"/>
        </w:pict>
      </w:r>
    </w:p>
    <w:p w14:paraId="39C1A6CF"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t>3. Financial Measures Under Review</w:t>
      </w:r>
    </w:p>
    <w:p w14:paraId="0A9591D1" w14:textId="77777777" w:rsidR="001B5F9C" w:rsidRPr="001B5F9C" w:rsidRDefault="001B5F9C" w:rsidP="001B5F9C">
      <w:pPr>
        <w:spacing w:line="278" w:lineRule="auto"/>
      </w:pPr>
      <w:r w:rsidRPr="001B5F9C">
        <w:t>The developer-submitted financial analysis compares the project under conventional property taxation with the proposed PILOT structure.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63"/>
        <w:gridCol w:w="3067"/>
        <w:gridCol w:w="3830"/>
      </w:tblGrid>
      <w:tr w:rsidR="001B5F9C" w:rsidRPr="001B5F9C" w14:paraId="0CB6F89D" w14:textId="77777777">
        <w:trPr>
          <w:tblHeader/>
          <w:tblCellSpacing w:w="15" w:type="dxa"/>
        </w:trPr>
        <w:tc>
          <w:tcPr>
            <w:tcW w:w="0" w:type="auto"/>
            <w:vAlign w:val="center"/>
            <w:hideMark/>
          </w:tcPr>
          <w:p w14:paraId="2707B5B3" w14:textId="77777777" w:rsidR="001B5F9C" w:rsidRPr="001B5F9C" w:rsidRDefault="001B5F9C" w:rsidP="001B5F9C">
            <w:pPr>
              <w:spacing w:line="278" w:lineRule="auto"/>
            </w:pPr>
            <w:r w:rsidRPr="001B5F9C">
              <w:t>Financial Measure</w:t>
            </w:r>
          </w:p>
        </w:tc>
        <w:tc>
          <w:tcPr>
            <w:tcW w:w="0" w:type="auto"/>
            <w:vAlign w:val="center"/>
            <w:hideMark/>
          </w:tcPr>
          <w:p w14:paraId="6DD26566" w14:textId="77777777" w:rsidR="001B5F9C" w:rsidRPr="001B5F9C" w:rsidRDefault="001B5F9C" w:rsidP="001B5F9C">
            <w:pPr>
              <w:spacing w:line="278" w:lineRule="auto"/>
            </w:pPr>
            <w:r w:rsidRPr="001B5F9C">
              <w:t>Conventional Taxation</w:t>
            </w:r>
          </w:p>
        </w:tc>
        <w:tc>
          <w:tcPr>
            <w:tcW w:w="0" w:type="auto"/>
            <w:vAlign w:val="center"/>
            <w:hideMark/>
          </w:tcPr>
          <w:p w14:paraId="3B88DDEF" w14:textId="77777777" w:rsidR="001B5F9C" w:rsidRPr="001B5F9C" w:rsidRDefault="001B5F9C" w:rsidP="001B5F9C">
            <w:pPr>
              <w:spacing w:line="278" w:lineRule="auto"/>
            </w:pPr>
            <w:r w:rsidRPr="001B5F9C">
              <w:t>Proposed PILOT Structure</w:t>
            </w:r>
          </w:p>
        </w:tc>
      </w:tr>
      <w:tr w:rsidR="001B5F9C" w:rsidRPr="001B5F9C" w14:paraId="0D7228FE" w14:textId="77777777">
        <w:trPr>
          <w:tblCellSpacing w:w="15" w:type="dxa"/>
        </w:trPr>
        <w:tc>
          <w:tcPr>
            <w:tcW w:w="0" w:type="auto"/>
            <w:vAlign w:val="center"/>
            <w:hideMark/>
          </w:tcPr>
          <w:p w14:paraId="626C49E4" w14:textId="77777777" w:rsidR="001B5F9C" w:rsidRPr="001B5F9C" w:rsidRDefault="001B5F9C" w:rsidP="001B5F9C">
            <w:pPr>
              <w:spacing w:line="278" w:lineRule="auto"/>
            </w:pPr>
            <w:r w:rsidRPr="001B5F9C">
              <w:t>Internal Rate of Return</w:t>
            </w:r>
          </w:p>
        </w:tc>
        <w:tc>
          <w:tcPr>
            <w:tcW w:w="0" w:type="auto"/>
            <w:vAlign w:val="center"/>
            <w:hideMark/>
          </w:tcPr>
          <w:p w14:paraId="6F5BAC22" w14:textId="77777777" w:rsidR="001B5F9C" w:rsidRPr="001B5F9C" w:rsidRDefault="001B5F9C" w:rsidP="001B5F9C">
            <w:pPr>
              <w:spacing w:line="278" w:lineRule="auto"/>
            </w:pPr>
            <w:r w:rsidRPr="001B5F9C">
              <w:t>4.76% [2]</w:t>
            </w:r>
          </w:p>
        </w:tc>
        <w:tc>
          <w:tcPr>
            <w:tcW w:w="0" w:type="auto"/>
            <w:vAlign w:val="center"/>
            <w:hideMark/>
          </w:tcPr>
          <w:p w14:paraId="2AE77B4E" w14:textId="77777777" w:rsidR="001B5F9C" w:rsidRPr="001B5F9C" w:rsidRDefault="001B5F9C" w:rsidP="001B5F9C">
            <w:pPr>
              <w:spacing w:line="278" w:lineRule="auto"/>
            </w:pPr>
            <w:r w:rsidRPr="001B5F9C">
              <w:t>9.77% [2]</w:t>
            </w:r>
          </w:p>
        </w:tc>
      </w:tr>
      <w:tr w:rsidR="001B5F9C" w:rsidRPr="001B5F9C" w14:paraId="6C033F9A" w14:textId="77777777">
        <w:trPr>
          <w:tblCellSpacing w:w="15" w:type="dxa"/>
        </w:trPr>
        <w:tc>
          <w:tcPr>
            <w:tcW w:w="0" w:type="auto"/>
            <w:vAlign w:val="center"/>
            <w:hideMark/>
          </w:tcPr>
          <w:p w14:paraId="6F9B60F4" w14:textId="77777777" w:rsidR="001B5F9C" w:rsidRPr="001B5F9C" w:rsidRDefault="001B5F9C" w:rsidP="001B5F9C">
            <w:pPr>
              <w:spacing w:line="278" w:lineRule="auto"/>
            </w:pPr>
            <w:r w:rsidRPr="001B5F9C">
              <w:t>Debt-Service Coverage Ratio</w:t>
            </w:r>
          </w:p>
        </w:tc>
        <w:tc>
          <w:tcPr>
            <w:tcW w:w="0" w:type="auto"/>
            <w:vAlign w:val="center"/>
            <w:hideMark/>
          </w:tcPr>
          <w:p w14:paraId="36E351D3" w14:textId="77777777" w:rsidR="001B5F9C" w:rsidRPr="001B5F9C" w:rsidRDefault="001B5F9C" w:rsidP="001B5F9C">
            <w:pPr>
              <w:spacing w:line="278" w:lineRule="auto"/>
            </w:pPr>
            <w:r w:rsidRPr="001B5F9C">
              <w:t>0.81 [2]</w:t>
            </w:r>
          </w:p>
        </w:tc>
        <w:tc>
          <w:tcPr>
            <w:tcW w:w="0" w:type="auto"/>
            <w:vAlign w:val="center"/>
            <w:hideMark/>
          </w:tcPr>
          <w:p w14:paraId="49C6D5C2" w14:textId="77777777" w:rsidR="001B5F9C" w:rsidRPr="001B5F9C" w:rsidRDefault="001B5F9C" w:rsidP="001B5F9C">
            <w:pPr>
              <w:spacing w:line="278" w:lineRule="auto"/>
            </w:pPr>
            <w:r w:rsidRPr="001B5F9C">
              <w:t>1.21 [2]</w:t>
            </w:r>
          </w:p>
        </w:tc>
      </w:tr>
      <w:tr w:rsidR="001B5F9C" w:rsidRPr="001B5F9C" w14:paraId="3F0E7A31" w14:textId="77777777">
        <w:trPr>
          <w:tblCellSpacing w:w="15" w:type="dxa"/>
        </w:trPr>
        <w:tc>
          <w:tcPr>
            <w:tcW w:w="0" w:type="auto"/>
            <w:vAlign w:val="center"/>
            <w:hideMark/>
          </w:tcPr>
          <w:p w14:paraId="53ABE5C3" w14:textId="77777777" w:rsidR="001B5F9C" w:rsidRPr="001B5F9C" w:rsidRDefault="001B5F9C" w:rsidP="001B5F9C">
            <w:pPr>
              <w:spacing w:line="278" w:lineRule="auto"/>
            </w:pPr>
            <w:r w:rsidRPr="001B5F9C">
              <w:t>Projected City Revenue Over 30 Years</w:t>
            </w:r>
          </w:p>
        </w:tc>
        <w:tc>
          <w:tcPr>
            <w:tcW w:w="0" w:type="auto"/>
            <w:vAlign w:val="center"/>
            <w:hideMark/>
          </w:tcPr>
          <w:p w14:paraId="049A5C8F" w14:textId="77777777" w:rsidR="001B5F9C" w:rsidRPr="001B5F9C" w:rsidRDefault="001B5F9C" w:rsidP="001B5F9C">
            <w:pPr>
              <w:spacing w:line="278" w:lineRule="auto"/>
            </w:pPr>
            <w:r w:rsidRPr="001B5F9C">
              <w:t>$2.55 million based on the current baseline [2]</w:t>
            </w:r>
          </w:p>
        </w:tc>
        <w:tc>
          <w:tcPr>
            <w:tcW w:w="0" w:type="auto"/>
            <w:vAlign w:val="center"/>
            <w:hideMark/>
          </w:tcPr>
          <w:p w14:paraId="30DD90F3" w14:textId="77777777" w:rsidR="001B5F9C" w:rsidRPr="001B5F9C" w:rsidRDefault="001B5F9C" w:rsidP="001B5F9C">
            <w:pPr>
              <w:spacing w:line="278" w:lineRule="auto"/>
            </w:pPr>
            <w:r w:rsidRPr="001B5F9C">
              <w:t>$87.8 million, including a reported $85.2 million net increase [2]</w:t>
            </w:r>
          </w:p>
        </w:tc>
      </w:tr>
    </w:tbl>
    <w:p w14:paraId="29728152" w14:textId="77777777" w:rsidR="001B5F9C" w:rsidRPr="001B5F9C" w:rsidRDefault="001B5F9C" w:rsidP="001B5F9C">
      <w:pPr>
        <w:spacing w:line="278" w:lineRule="auto"/>
      </w:pPr>
      <w:r w:rsidRPr="001B5F9C">
        <w:t>The projected improvement in the project’s Internal Rate of Return and Debt-Service Coverage Ratio supports the conclusion that tax relief may improve financial feasibility.</w:t>
      </w:r>
    </w:p>
    <w:p w14:paraId="28D7E043" w14:textId="77777777" w:rsidR="001B5F9C" w:rsidRPr="001B5F9C" w:rsidRDefault="001B5F9C" w:rsidP="001B5F9C">
      <w:pPr>
        <w:spacing w:line="278" w:lineRule="auto"/>
      </w:pPr>
      <w:r w:rsidRPr="001B5F9C">
        <w:t>However, the reported $85.2 million increase in municipal revenue should not be evaluated solely against taxes generated by the property in its current underdeveloped condition. The appropriate comparison is the amount the completed and fully occupied development would reasonably be expected to pay under conventional property taxation over the same 30-year period.</w:t>
      </w:r>
    </w:p>
    <w:p w14:paraId="7CC32A07" w14:textId="77777777" w:rsidR="001B5F9C" w:rsidRPr="001B5F9C" w:rsidRDefault="001B5F9C" w:rsidP="001B5F9C">
      <w:pPr>
        <w:spacing w:line="278" w:lineRule="auto"/>
      </w:pPr>
      <w:r w:rsidRPr="001B5F9C">
        <w:t xml:space="preserve">The </w:t>
      </w:r>
      <w:proofErr w:type="gramStart"/>
      <w:r w:rsidRPr="001B5F9C">
        <w:t>City</w:t>
      </w:r>
      <w:proofErr w:type="gramEnd"/>
      <w:r w:rsidRPr="001B5F9C">
        <w:t xml:space="preserve"> should therefore require an independent, side-by-side analysis of:</w:t>
      </w:r>
    </w:p>
    <w:p w14:paraId="66303784" w14:textId="77777777" w:rsidR="001B5F9C" w:rsidRPr="001B5F9C" w:rsidRDefault="001B5F9C" w:rsidP="001B5F9C">
      <w:pPr>
        <w:numPr>
          <w:ilvl w:val="0"/>
          <w:numId w:val="8"/>
        </w:numPr>
        <w:spacing w:line="278" w:lineRule="auto"/>
      </w:pPr>
      <w:r w:rsidRPr="001B5F9C">
        <w:t xml:space="preserve">Conventional taxes on </w:t>
      </w:r>
      <w:proofErr w:type="gramStart"/>
      <w:r w:rsidRPr="001B5F9C">
        <w:t>the completed</w:t>
      </w:r>
      <w:proofErr w:type="gramEnd"/>
      <w:r w:rsidRPr="001B5F9C">
        <w:t xml:space="preserve"> development;</w:t>
      </w:r>
    </w:p>
    <w:p w14:paraId="62CEAF39" w14:textId="77777777" w:rsidR="001B5F9C" w:rsidRPr="001B5F9C" w:rsidRDefault="001B5F9C" w:rsidP="001B5F9C">
      <w:pPr>
        <w:numPr>
          <w:ilvl w:val="0"/>
          <w:numId w:val="8"/>
        </w:numPr>
        <w:spacing w:line="278" w:lineRule="auto"/>
      </w:pPr>
      <w:r w:rsidRPr="001B5F9C">
        <w:t>PILOT payments under the proposed agreement;</w:t>
      </w:r>
    </w:p>
    <w:p w14:paraId="2E25099B" w14:textId="77777777" w:rsidR="001B5F9C" w:rsidRPr="001B5F9C" w:rsidRDefault="001B5F9C" w:rsidP="001B5F9C">
      <w:pPr>
        <w:numPr>
          <w:ilvl w:val="0"/>
          <w:numId w:val="8"/>
        </w:numPr>
        <w:spacing w:line="278" w:lineRule="auto"/>
      </w:pPr>
      <w:r w:rsidRPr="001B5F9C">
        <w:t>Municipal service costs generated by the development;</w:t>
      </w:r>
    </w:p>
    <w:p w14:paraId="5DEE485D" w14:textId="77777777" w:rsidR="001B5F9C" w:rsidRPr="001B5F9C" w:rsidRDefault="001B5F9C" w:rsidP="001B5F9C">
      <w:pPr>
        <w:numPr>
          <w:ilvl w:val="0"/>
          <w:numId w:val="8"/>
        </w:numPr>
        <w:spacing w:line="278" w:lineRule="auto"/>
      </w:pPr>
      <w:r w:rsidRPr="001B5F9C">
        <w:t>The value of any public land or infrastructure contributions;</w:t>
      </w:r>
    </w:p>
    <w:p w14:paraId="195AF573" w14:textId="77777777" w:rsidR="001B5F9C" w:rsidRPr="001B5F9C" w:rsidRDefault="001B5F9C" w:rsidP="001B5F9C">
      <w:pPr>
        <w:numPr>
          <w:ilvl w:val="0"/>
          <w:numId w:val="8"/>
        </w:numPr>
        <w:spacing w:line="278" w:lineRule="auto"/>
      </w:pPr>
      <w:r w:rsidRPr="001B5F9C">
        <w:lastRenderedPageBreak/>
        <w:t>County and school funding implications; and</w:t>
      </w:r>
    </w:p>
    <w:p w14:paraId="5186F233" w14:textId="77777777" w:rsidR="001B5F9C" w:rsidRPr="001B5F9C" w:rsidRDefault="001B5F9C" w:rsidP="001B5F9C">
      <w:pPr>
        <w:numPr>
          <w:ilvl w:val="0"/>
          <w:numId w:val="8"/>
        </w:numPr>
        <w:spacing w:line="278" w:lineRule="auto"/>
      </w:pPr>
      <w:r w:rsidRPr="001B5F9C">
        <w:t>The present value of projected revenues under each scenario.</w:t>
      </w:r>
    </w:p>
    <w:p w14:paraId="41067BEC" w14:textId="77777777" w:rsidR="001B5F9C" w:rsidRPr="001B5F9C" w:rsidRDefault="001B5F9C" w:rsidP="001B5F9C">
      <w:pPr>
        <w:spacing w:line="278" w:lineRule="auto"/>
      </w:pPr>
      <w:r w:rsidRPr="001B5F9C">
        <w:t xml:space="preserve">Without this analysis, the </w:t>
      </w:r>
      <w:proofErr w:type="gramStart"/>
      <w:r w:rsidRPr="001B5F9C">
        <w:t>City</w:t>
      </w:r>
      <w:proofErr w:type="gramEnd"/>
      <w:r w:rsidRPr="001B5F9C">
        <w:t xml:space="preserve"> cannot determine the full public cost or benefit of the proposed agreement.</w:t>
      </w:r>
    </w:p>
    <w:p w14:paraId="30CCEE11" w14:textId="77777777" w:rsidR="001B5F9C" w:rsidRPr="001B5F9C" w:rsidRDefault="001B5F9C" w:rsidP="001B5F9C">
      <w:pPr>
        <w:spacing w:line="278" w:lineRule="auto"/>
      </w:pPr>
      <w:r w:rsidRPr="001B5F9C">
        <w:pict w14:anchorId="73687CEF">
          <v:rect id="_x0000_i1387" style="width:0;height:1.5pt" o:hralign="center" o:hrstd="t" o:hr="t" fillcolor="#a0a0a0" stroked="f"/>
        </w:pict>
      </w:r>
    </w:p>
    <w:p w14:paraId="1BD9A38E"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t>4. Scope and Limitations of the Review</w:t>
      </w:r>
    </w:p>
    <w:p w14:paraId="671E7A5B" w14:textId="77777777" w:rsidR="001B5F9C" w:rsidRPr="001B5F9C" w:rsidRDefault="001B5F9C" w:rsidP="001B5F9C">
      <w:pPr>
        <w:spacing w:line="278" w:lineRule="auto"/>
      </w:pPr>
      <w:r w:rsidRPr="001B5F9C">
        <w:t>Because of abbreviated review timelines, Restrepo &amp; Associates was not provided with all documentation necessary to conduct a complete underwriting analysis or independent appraisal.</w:t>
      </w:r>
    </w:p>
    <w:p w14:paraId="1748E8C0" w14:textId="77777777" w:rsidR="001B5F9C" w:rsidRPr="001B5F9C" w:rsidRDefault="001B5F9C" w:rsidP="001B5F9C">
      <w:pPr>
        <w:spacing w:line="278" w:lineRule="auto"/>
      </w:pPr>
      <w:r w:rsidRPr="001B5F9C">
        <w:t>The outstanding materials include:</w:t>
      </w:r>
    </w:p>
    <w:p w14:paraId="6315D29B" w14:textId="77777777" w:rsidR="001B5F9C" w:rsidRPr="001B5F9C" w:rsidRDefault="001B5F9C" w:rsidP="001B5F9C">
      <w:pPr>
        <w:numPr>
          <w:ilvl w:val="0"/>
          <w:numId w:val="9"/>
        </w:numPr>
        <w:spacing w:line="278" w:lineRule="auto"/>
      </w:pPr>
      <w:r w:rsidRPr="001B5F9C">
        <w:t>Complete operating pro formas;</w:t>
      </w:r>
    </w:p>
    <w:p w14:paraId="573D81BD" w14:textId="77777777" w:rsidR="001B5F9C" w:rsidRPr="001B5F9C" w:rsidRDefault="001B5F9C" w:rsidP="001B5F9C">
      <w:pPr>
        <w:numPr>
          <w:ilvl w:val="0"/>
          <w:numId w:val="9"/>
        </w:numPr>
        <w:spacing w:line="278" w:lineRule="auto"/>
      </w:pPr>
      <w:r w:rsidRPr="001B5F9C">
        <w:t>Detailed construction and development budgets;</w:t>
      </w:r>
    </w:p>
    <w:p w14:paraId="6DA70C0B" w14:textId="77777777" w:rsidR="001B5F9C" w:rsidRPr="001B5F9C" w:rsidRDefault="001B5F9C" w:rsidP="001B5F9C">
      <w:pPr>
        <w:numPr>
          <w:ilvl w:val="0"/>
          <w:numId w:val="9"/>
        </w:numPr>
        <w:spacing w:line="278" w:lineRule="auto"/>
      </w:pPr>
      <w:r w:rsidRPr="001B5F9C">
        <w:t>Independent land and property appraisals;</w:t>
      </w:r>
    </w:p>
    <w:p w14:paraId="3C8600C6" w14:textId="77777777" w:rsidR="001B5F9C" w:rsidRPr="001B5F9C" w:rsidRDefault="001B5F9C" w:rsidP="001B5F9C">
      <w:pPr>
        <w:numPr>
          <w:ilvl w:val="0"/>
          <w:numId w:val="9"/>
        </w:numPr>
        <w:spacing w:line="278" w:lineRule="auto"/>
      </w:pPr>
      <w:r w:rsidRPr="001B5F9C">
        <w:t>Financing commitments and applicable lending terms;</w:t>
      </w:r>
    </w:p>
    <w:p w14:paraId="7BD892A7" w14:textId="77777777" w:rsidR="001B5F9C" w:rsidRPr="001B5F9C" w:rsidRDefault="001B5F9C" w:rsidP="001B5F9C">
      <w:pPr>
        <w:numPr>
          <w:ilvl w:val="0"/>
          <w:numId w:val="9"/>
        </w:numPr>
        <w:spacing w:line="278" w:lineRule="auto"/>
      </w:pPr>
      <w:r w:rsidRPr="001B5F9C">
        <w:t>Public subsidy and grant documentation;</w:t>
      </w:r>
    </w:p>
    <w:p w14:paraId="3E7F11FF" w14:textId="77777777" w:rsidR="001B5F9C" w:rsidRPr="001B5F9C" w:rsidRDefault="001B5F9C" w:rsidP="001B5F9C">
      <w:pPr>
        <w:numPr>
          <w:ilvl w:val="0"/>
          <w:numId w:val="9"/>
        </w:numPr>
        <w:spacing w:line="278" w:lineRule="auto"/>
      </w:pPr>
      <w:r w:rsidRPr="001B5F9C">
        <w:t>Detailed environmental remediation costs;</w:t>
      </w:r>
    </w:p>
    <w:p w14:paraId="2BE22AE5" w14:textId="77777777" w:rsidR="001B5F9C" w:rsidRPr="001B5F9C" w:rsidRDefault="001B5F9C" w:rsidP="001B5F9C">
      <w:pPr>
        <w:numPr>
          <w:ilvl w:val="0"/>
          <w:numId w:val="9"/>
        </w:numPr>
        <w:spacing w:line="278" w:lineRule="auto"/>
      </w:pPr>
      <w:r w:rsidRPr="001B5F9C">
        <w:t>Developer equity assumptions;</w:t>
      </w:r>
    </w:p>
    <w:p w14:paraId="1E946311" w14:textId="77777777" w:rsidR="001B5F9C" w:rsidRPr="001B5F9C" w:rsidRDefault="001B5F9C" w:rsidP="001B5F9C">
      <w:pPr>
        <w:numPr>
          <w:ilvl w:val="0"/>
          <w:numId w:val="9"/>
        </w:numPr>
        <w:spacing w:line="278" w:lineRule="auto"/>
      </w:pPr>
      <w:r w:rsidRPr="001B5F9C">
        <w:t>Projected refinancing and disposition scenarios; and</w:t>
      </w:r>
    </w:p>
    <w:p w14:paraId="3DA94EC7" w14:textId="77777777" w:rsidR="001B5F9C" w:rsidRPr="001B5F9C" w:rsidRDefault="001B5F9C" w:rsidP="001B5F9C">
      <w:pPr>
        <w:numPr>
          <w:ilvl w:val="0"/>
          <w:numId w:val="9"/>
        </w:numPr>
        <w:spacing w:line="278" w:lineRule="auto"/>
      </w:pPr>
      <w:r w:rsidRPr="001B5F9C">
        <w:t>Supporting documentation for projected municipal revenues.</w:t>
      </w:r>
    </w:p>
    <w:p w14:paraId="23400CB3" w14:textId="77777777" w:rsidR="001B5F9C" w:rsidRPr="001B5F9C" w:rsidRDefault="001B5F9C" w:rsidP="001B5F9C">
      <w:pPr>
        <w:spacing w:line="278" w:lineRule="auto"/>
      </w:pPr>
      <w:r w:rsidRPr="001B5F9C">
        <w:t>This preliminary evaluation also does not determine how the proposed PILOT may affect local school funding or the broader state school funding formula. That issue requires a separate fiscal and legal analysis before final approval.</w:t>
      </w:r>
    </w:p>
    <w:p w14:paraId="6B33F1C9" w14:textId="77777777" w:rsidR="001B5F9C" w:rsidRPr="001B5F9C" w:rsidRDefault="001B5F9C" w:rsidP="001B5F9C">
      <w:pPr>
        <w:spacing w:line="278" w:lineRule="auto"/>
      </w:pPr>
      <w:r w:rsidRPr="001B5F9C">
        <w:t>These limitations should be addressed through a comprehensive independent review before the governing body considers final authorization.</w:t>
      </w:r>
    </w:p>
    <w:p w14:paraId="42CFA627" w14:textId="77777777" w:rsidR="001B5F9C" w:rsidRPr="001B5F9C" w:rsidRDefault="001B5F9C" w:rsidP="001B5F9C">
      <w:pPr>
        <w:spacing w:line="278" w:lineRule="auto"/>
      </w:pPr>
      <w:r w:rsidRPr="001B5F9C">
        <w:pict w14:anchorId="0A8DC5CD">
          <v:rect id="_x0000_i1388" style="width:0;height:1.5pt" o:hralign="center" o:hrstd="t" o:hr="t" fillcolor="#a0a0a0" stroked="f"/>
        </w:pict>
      </w:r>
    </w:p>
    <w:p w14:paraId="080D65EA"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t>5. Independent Oversight and Public Accountability</w:t>
      </w:r>
    </w:p>
    <w:p w14:paraId="544E1939" w14:textId="77777777" w:rsidR="001B5F9C" w:rsidRPr="001B5F9C" w:rsidRDefault="001B5F9C" w:rsidP="001B5F9C">
      <w:pPr>
        <w:spacing w:line="278" w:lineRule="auto"/>
      </w:pPr>
      <w:r w:rsidRPr="001B5F9C">
        <w:t>Evaluation and long-term monitoring of PILOT agreements should be led by the municipality’s tax and finance professionals, including the:</w:t>
      </w:r>
    </w:p>
    <w:p w14:paraId="532A9412" w14:textId="77777777" w:rsidR="001B5F9C" w:rsidRPr="001B5F9C" w:rsidRDefault="001B5F9C" w:rsidP="001B5F9C">
      <w:pPr>
        <w:numPr>
          <w:ilvl w:val="0"/>
          <w:numId w:val="10"/>
        </w:numPr>
        <w:spacing w:line="278" w:lineRule="auto"/>
      </w:pPr>
      <w:r w:rsidRPr="001B5F9C">
        <w:lastRenderedPageBreak/>
        <w:t>Business Administrator;</w:t>
      </w:r>
    </w:p>
    <w:p w14:paraId="237F53C0" w14:textId="77777777" w:rsidR="001B5F9C" w:rsidRPr="001B5F9C" w:rsidRDefault="001B5F9C" w:rsidP="001B5F9C">
      <w:pPr>
        <w:numPr>
          <w:ilvl w:val="0"/>
          <w:numId w:val="10"/>
        </w:numPr>
        <w:spacing w:line="278" w:lineRule="auto"/>
      </w:pPr>
      <w:r w:rsidRPr="001B5F9C">
        <w:t>Finance Department;</w:t>
      </w:r>
    </w:p>
    <w:p w14:paraId="66BCC517" w14:textId="77777777" w:rsidR="001B5F9C" w:rsidRPr="001B5F9C" w:rsidRDefault="001B5F9C" w:rsidP="001B5F9C">
      <w:pPr>
        <w:numPr>
          <w:ilvl w:val="0"/>
          <w:numId w:val="10"/>
        </w:numPr>
        <w:spacing w:line="278" w:lineRule="auto"/>
      </w:pPr>
      <w:r w:rsidRPr="001B5F9C">
        <w:t>Tax Assessor;</w:t>
      </w:r>
    </w:p>
    <w:p w14:paraId="72E1E31C" w14:textId="77777777" w:rsidR="001B5F9C" w:rsidRPr="001B5F9C" w:rsidRDefault="001B5F9C" w:rsidP="001B5F9C">
      <w:pPr>
        <w:numPr>
          <w:ilvl w:val="0"/>
          <w:numId w:val="10"/>
        </w:numPr>
        <w:spacing w:line="278" w:lineRule="auto"/>
      </w:pPr>
      <w:r w:rsidRPr="001B5F9C">
        <w:t>Tax Collector; and</w:t>
      </w:r>
    </w:p>
    <w:p w14:paraId="5ED2AE9E" w14:textId="77777777" w:rsidR="001B5F9C" w:rsidRPr="001B5F9C" w:rsidRDefault="001B5F9C" w:rsidP="001B5F9C">
      <w:pPr>
        <w:numPr>
          <w:ilvl w:val="0"/>
          <w:numId w:val="10"/>
        </w:numPr>
        <w:spacing w:line="278" w:lineRule="auto"/>
      </w:pPr>
      <w:r w:rsidRPr="001B5F9C">
        <w:t>Other appropriate municipal financial and legal professionals.</w:t>
      </w:r>
    </w:p>
    <w:p w14:paraId="5381D091" w14:textId="77777777" w:rsidR="001B5F9C" w:rsidRPr="001B5F9C" w:rsidRDefault="001B5F9C" w:rsidP="001B5F9C">
      <w:pPr>
        <w:spacing w:line="278" w:lineRule="auto"/>
      </w:pPr>
      <w:r w:rsidRPr="001B5F9C">
        <w:t>Outside redevelopment agencies, consultants, and financial advisers may provide technical support, but they should not replace direct municipal oversight.</w:t>
      </w:r>
    </w:p>
    <w:p w14:paraId="362B3D78" w14:textId="77777777" w:rsidR="001B5F9C" w:rsidRPr="001B5F9C" w:rsidRDefault="001B5F9C" w:rsidP="001B5F9C">
      <w:pPr>
        <w:spacing w:line="278" w:lineRule="auto"/>
      </w:pPr>
      <w:r w:rsidRPr="001B5F9C">
        <w:t>The governing body should receive a written independent financial analysis that clearly explains:</w:t>
      </w:r>
    </w:p>
    <w:p w14:paraId="33E1E28F" w14:textId="77777777" w:rsidR="001B5F9C" w:rsidRPr="001B5F9C" w:rsidRDefault="001B5F9C" w:rsidP="001B5F9C">
      <w:pPr>
        <w:numPr>
          <w:ilvl w:val="0"/>
          <w:numId w:val="11"/>
        </w:numPr>
        <w:spacing w:line="278" w:lineRule="auto"/>
      </w:pPr>
      <w:r w:rsidRPr="001B5F9C">
        <w:t>Why tax assistance is required;</w:t>
      </w:r>
    </w:p>
    <w:p w14:paraId="7BBD6A1A" w14:textId="77777777" w:rsidR="001B5F9C" w:rsidRPr="001B5F9C" w:rsidRDefault="001B5F9C" w:rsidP="001B5F9C">
      <w:pPr>
        <w:numPr>
          <w:ilvl w:val="0"/>
          <w:numId w:val="11"/>
        </w:numPr>
        <w:spacing w:line="278" w:lineRule="auto"/>
      </w:pPr>
      <w:r w:rsidRPr="001B5F9C">
        <w:t>How the proposed term was determined;</w:t>
      </w:r>
    </w:p>
    <w:p w14:paraId="2C9C65B3" w14:textId="77777777" w:rsidR="001B5F9C" w:rsidRPr="001B5F9C" w:rsidRDefault="001B5F9C" w:rsidP="001B5F9C">
      <w:pPr>
        <w:numPr>
          <w:ilvl w:val="0"/>
          <w:numId w:val="11"/>
        </w:numPr>
        <w:spacing w:line="278" w:lineRule="auto"/>
      </w:pPr>
      <w:r w:rsidRPr="001B5F9C">
        <w:t>Whether a shorter term would be sufficient;</w:t>
      </w:r>
    </w:p>
    <w:p w14:paraId="06F6606B" w14:textId="77777777" w:rsidR="001B5F9C" w:rsidRPr="001B5F9C" w:rsidRDefault="001B5F9C" w:rsidP="001B5F9C">
      <w:pPr>
        <w:numPr>
          <w:ilvl w:val="0"/>
          <w:numId w:val="11"/>
        </w:numPr>
        <w:spacing w:line="278" w:lineRule="auto"/>
      </w:pPr>
      <w:r w:rsidRPr="001B5F9C">
        <w:t>How public benefits were valued;</w:t>
      </w:r>
    </w:p>
    <w:p w14:paraId="34DD9AED" w14:textId="77777777" w:rsidR="001B5F9C" w:rsidRPr="001B5F9C" w:rsidRDefault="001B5F9C" w:rsidP="001B5F9C">
      <w:pPr>
        <w:numPr>
          <w:ilvl w:val="0"/>
          <w:numId w:val="11"/>
        </w:numPr>
        <w:spacing w:line="278" w:lineRule="auto"/>
      </w:pPr>
      <w:r w:rsidRPr="001B5F9C">
        <w:t>What financial risks the municipality assumes; and</w:t>
      </w:r>
    </w:p>
    <w:p w14:paraId="348D3676" w14:textId="77777777" w:rsidR="001B5F9C" w:rsidRPr="001B5F9C" w:rsidRDefault="001B5F9C" w:rsidP="001B5F9C">
      <w:pPr>
        <w:numPr>
          <w:ilvl w:val="0"/>
          <w:numId w:val="11"/>
        </w:numPr>
        <w:spacing w:line="278" w:lineRule="auto"/>
      </w:pPr>
      <w:r w:rsidRPr="001B5F9C">
        <w:t>What enforcement measures will protect the public if project conditions change.</w:t>
      </w:r>
    </w:p>
    <w:p w14:paraId="286F27D5" w14:textId="77777777" w:rsidR="001B5F9C" w:rsidRPr="001B5F9C" w:rsidRDefault="001B5F9C" w:rsidP="001B5F9C">
      <w:pPr>
        <w:spacing w:line="278" w:lineRule="auto"/>
      </w:pPr>
      <w:r w:rsidRPr="001B5F9C">
        <w:t>The analysis should be made available to the public sufficiently in advance of any hearing or final vote.</w:t>
      </w:r>
    </w:p>
    <w:p w14:paraId="4B57DD7C" w14:textId="77777777" w:rsidR="001B5F9C" w:rsidRPr="001B5F9C" w:rsidRDefault="001B5F9C" w:rsidP="001B5F9C">
      <w:pPr>
        <w:spacing w:line="278" w:lineRule="auto"/>
      </w:pPr>
      <w:r w:rsidRPr="001B5F9C">
        <w:pict w14:anchorId="7BEA0F61">
          <v:rect id="_x0000_i1389" style="width:0;height:1.5pt" o:hralign="center" o:hrstd="t" o:hr="t" fillcolor="#a0a0a0" stroked="f"/>
        </w:pict>
      </w:r>
    </w:p>
    <w:p w14:paraId="26E6B7C2"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t>6. Statewide Framework for Fair Tax Assistance</w:t>
      </w:r>
    </w:p>
    <w:p w14:paraId="0B3E182E" w14:textId="77777777" w:rsidR="001B5F9C" w:rsidRPr="001B5F9C" w:rsidRDefault="001B5F9C" w:rsidP="001B5F9C">
      <w:pPr>
        <w:spacing w:line="278" w:lineRule="auto"/>
      </w:pPr>
      <w:r w:rsidRPr="001B5F9C">
        <w:t>New Jersey should adopt a standardized framework for evaluating municipal tax abatements and PILOT agreements:</w:t>
      </w:r>
    </w:p>
    <w:p w14:paraId="68325A00" w14:textId="77777777" w:rsidR="001B5F9C" w:rsidRPr="001B5F9C" w:rsidRDefault="001B5F9C" w:rsidP="001B5F9C">
      <w:pPr>
        <w:spacing w:line="278" w:lineRule="auto"/>
      </w:pPr>
      <w:r w:rsidRPr="001B5F9C">
        <w:t>Demonstrated Financial Need + Affordable Housing + Public Benefits + Extraordinary Costs = Appropriate Tax Assistance [3]</w:t>
      </w:r>
    </w:p>
    <w:p w14:paraId="6EB3A22A" w14:textId="77777777" w:rsidR="001B5F9C" w:rsidRPr="001B5F9C" w:rsidRDefault="001B5F9C" w:rsidP="001B5F9C">
      <w:pPr>
        <w:spacing w:line="278" w:lineRule="auto"/>
      </w:pPr>
      <w:r w:rsidRPr="001B5F9C">
        <w:t>Under this framework, the amount and duration of tax assistance would be determined by independently verified project conditions rather than automatically granting the longest term permitted by law.</w:t>
      </w:r>
    </w:p>
    <w:p w14:paraId="7C61223C" w14:textId="77777777" w:rsidR="001B5F9C" w:rsidRPr="001B5F9C" w:rsidRDefault="001B5F9C" w:rsidP="001B5F9C">
      <w:pPr>
        <w:spacing w:line="278" w:lineRule="auto"/>
      </w:pPr>
      <w:r w:rsidRPr="001B5F9C">
        <w:t xml:space="preserve">At a minimum, every application should </w:t>
      </w:r>
      <w:proofErr w:type="gramStart"/>
      <w:r w:rsidRPr="001B5F9C">
        <w:t>disclose</w:t>
      </w:r>
      <w:proofErr w:type="gramEnd"/>
      <w:r w:rsidRPr="001B5F9C">
        <w:t>:</w:t>
      </w:r>
    </w:p>
    <w:p w14:paraId="356B571A" w14:textId="77777777" w:rsidR="001B5F9C" w:rsidRPr="001B5F9C" w:rsidRDefault="001B5F9C" w:rsidP="001B5F9C">
      <w:pPr>
        <w:numPr>
          <w:ilvl w:val="0"/>
          <w:numId w:val="12"/>
        </w:numPr>
        <w:spacing w:line="278" w:lineRule="auto"/>
      </w:pPr>
      <w:r w:rsidRPr="001B5F9C">
        <w:t>Total development costs;</w:t>
      </w:r>
    </w:p>
    <w:p w14:paraId="71F94B4C" w14:textId="77777777" w:rsidR="001B5F9C" w:rsidRPr="001B5F9C" w:rsidRDefault="001B5F9C" w:rsidP="001B5F9C">
      <w:pPr>
        <w:numPr>
          <w:ilvl w:val="0"/>
          <w:numId w:val="12"/>
        </w:numPr>
        <w:spacing w:line="278" w:lineRule="auto"/>
      </w:pPr>
      <w:r w:rsidRPr="001B5F9C">
        <w:lastRenderedPageBreak/>
        <w:t>Cost per residential unit;</w:t>
      </w:r>
    </w:p>
    <w:p w14:paraId="03CA8E10" w14:textId="77777777" w:rsidR="001B5F9C" w:rsidRPr="001B5F9C" w:rsidRDefault="001B5F9C" w:rsidP="001B5F9C">
      <w:pPr>
        <w:numPr>
          <w:ilvl w:val="0"/>
          <w:numId w:val="12"/>
        </w:numPr>
        <w:spacing w:line="278" w:lineRule="auto"/>
      </w:pPr>
      <w:proofErr w:type="gramStart"/>
      <w:r w:rsidRPr="001B5F9C">
        <w:t>Land</w:t>
      </w:r>
      <w:proofErr w:type="gramEnd"/>
      <w:r w:rsidRPr="001B5F9C">
        <w:t xml:space="preserve"> acquisition costs;</w:t>
      </w:r>
    </w:p>
    <w:p w14:paraId="0CB89B36" w14:textId="77777777" w:rsidR="001B5F9C" w:rsidRPr="001B5F9C" w:rsidRDefault="001B5F9C" w:rsidP="001B5F9C">
      <w:pPr>
        <w:numPr>
          <w:ilvl w:val="0"/>
          <w:numId w:val="12"/>
        </w:numPr>
        <w:spacing w:line="278" w:lineRule="auto"/>
      </w:pPr>
      <w:r w:rsidRPr="001B5F9C">
        <w:t>The value of publicly owned land transferred to the project;</w:t>
      </w:r>
    </w:p>
    <w:p w14:paraId="21271E37" w14:textId="77777777" w:rsidR="001B5F9C" w:rsidRPr="001B5F9C" w:rsidRDefault="001B5F9C" w:rsidP="001B5F9C">
      <w:pPr>
        <w:numPr>
          <w:ilvl w:val="0"/>
          <w:numId w:val="12"/>
        </w:numPr>
        <w:spacing w:line="278" w:lineRule="auto"/>
      </w:pPr>
      <w:r w:rsidRPr="001B5F9C">
        <w:t>Developer equity and expected returns;</w:t>
      </w:r>
    </w:p>
    <w:p w14:paraId="74BEF546" w14:textId="77777777" w:rsidR="001B5F9C" w:rsidRPr="001B5F9C" w:rsidRDefault="001B5F9C" w:rsidP="001B5F9C">
      <w:pPr>
        <w:numPr>
          <w:ilvl w:val="0"/>
          <w:numId w:val="12"/>
        </w:numPr>
        <w:spacing w:line="278" w:lineRule="auto"/>
      </w:pPr>
      <w:r w:rsidRPr="001B5F9C">
        <w:t>Public grants, loans, tax credits, and subsidies;</w:t>
      </w:r>
    </w:p>
    <w:p w14:paraId="5CD481B4" w14:textId="77777777" w:rsidR="001B5F9C" w:rsidRPr="001B5F9C" w:rsidRDefault="001B5F9C" w:rsidP="001B5F9C">
      <w:pPr>
        <w:numPr>
          <w:ilvl w:val="0"/>
          <w:numId w:val="12"/>
        </w:numPr>
        <w:spacing w:line="278" w:lineRule="auto"/>
      </w:pPr>
      <w:r w:rsidRPr="001B5F9C">
        <w:t>Conventional tax obligations on the completed project;</w:t>
      </w:r>
    </w:p>
    <w:p w14:paraId="5F80B938" w14:textId="77777777" w:rsidR="001B5F9C" w:rsidRPr="001B5F9C" w:rsidRDefault="001B5F9C" w:rsidP="001B5F9C">
      <w:pPr>
        <w:numPr>
          <w:ilvl w:val="0"/>
          <w:numId w:val="12"/>
        </w:numPr>
        <w:spacing w:line="278" w:lineRule="auto"/>
      </w:pPr>
      <w:r w:rsidRPr="001B5F9C">
        <w:t>Proposed PILOT payments;</w:t>
      </w:r>
    </w:p>
    <w:p w14:paraId="684E8996" w14:textId="77777777" w:rsidR="001B5F9C" w:rsidRPr="001B5F9C" w:rsidRDefault="001B5F9C" w:rsidP="001B5F9C">
      <w:pPr>
        <w:numPr>
          <w:ilvl w:val="0"/>
          <w:numId w:val="12"/>
        </w:numPr>
        <w:spacing w:line="278" w:lineRule="auto"/>
      </w:pPr>
      <w:r w:rsidRPr="001B5F9C">
        <w:t>Affordable housing obligations;</w:t>
      </w:r>
    </w:p>
    <w:p w14:paraId="28011D14" w14:textId="77777777" w:rsidR="001B5F9C" w:rsidRPr="001B5F9C" w:rsidRDefault="001B5F9C" w:rsidP="001B5F9C">
      <w:pPr>
        <w:numPr>
          <w:ilvl w:val="0"/>
          <w:numId w:val="12"/>
        </w:numPr>
        <w:spacing w:line="278" w:lineRule="auto"/>
      </w:pPr>
      <w:r w:rsidRPr="001B5F9C">
        <w:t>Environmental remediation costs;</w:t>
      </w:r>
    </w:p>
    <w:p w14:paraId="4DC55D15" w14:textId="77777777" w:rsidR="001B5F9C" w:rsidRPr="001B5F9C" w:rsidRDefault="001B5F9C" w:rsidP="001B5F9C">
      <w:pPr>
        <w:numPr>
          <w:ilvl w:val="0"/>
          <w:numId w:val="12"/>
        </w:numPr>
        <w:spacing w:line="278" w:lineRule="auto"/>
      </w:pPr>
      <w:r w:rsidRPr="001B5F9C">
        <w:t>Infrastructure commitments;</w:t>
      </w:r>
    </w:p>
    <w:p w14:paraId="2790E026" w14:textId="77777777" w:rsidR="001B5F9C" w:rsidRPr="001B5F9C" w:rsidRDefault="001B5F9C" w:rsidP="001B5F9C">
      <w:pPr>
        <w:numPr>
          <w:ilvl w:val="0"/>
          <w:numId w:val="12"/>
        </w:numPr>
        <w:spacing w:line="278" w:lineRule="auto"/>
      </w:pPr>
      <w:r w:rsidRPr="001B5F9C">
        <w:t>Community benefit commitments; and</w:t>
      </w:r>
    </w:p>
    <w:p w14:paraId="7BF3CC65" w14:textId="77777777" w:rsidR="001B5F9C" w:rsidRPr="001B5F9C" w:rsidRDefault="001B5F9C" w:rsidP="001B5F9C">
      <w:pPr>
        <w:numPr>
          <w:ilvl w:val="0"/>
          <w:numId w:val="12"/>
        </w:numPr>
        <w:spacing w:line="278" w:lineRule="auto"/>
      </w:pPr>
      <w:r w:rsidRPr="001B5F9C">
        <w:t>Projected refinancing or sale proceeds.</w:t>
      </w:r>
    </w:p>
    <w:p w14:paraId="52F5408B" w14:textId="77777777" w:rsidR="001B5F9C" w:rsidRPr="001B5F9C" w:rsidRDefault="001B5F9C" w:rsidP="001B5F9C">
      <w:pPr>
        <w:spacing w:line="278" w:lineRule="auto"/>
      </w:pPr>
      <w:r w:rsidRPr="001B5F9C">
        <w:t>A standardized statewide disclosure process would allow residents, municipalities, and state officials to compare tax abatement proposals using consistent financial and public policy criteria.</w:t>
      </w:r>
    </w:p>
    <w:p w14:paraId="25B9E618" w14:textId="77777777" w:rsidR="001B5F9C" w:rsidRPr="001B5F9C" w:rsidRDefault="001B5F9C" w:rsidP="001B5F9C">
      <w:pPr>
        <w:spacing w:line="278" w:lineRule="auto"/>
      </w:pPr>
      <w:r w:rsidRPr="001B5F9C">
        <w:pict w14:anchorId="5D5CE822">
          <v:rect id="_x0000_i1390" style="width:0;height:1.5pt" o:hralign="center" o:hrstd="t" o:hr="t" fillcolor="#a0a0a0" stroked="f"/>
        </w:pict>
      </w:r>
    </w:p>
    <w:p w14:paraId="6B696B1B"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t>7. Key Policy Recommendations</w:t>
      </w:r>
    </w:p>
    <w:p w14:paraId="453ED9B7" w14:textId="77777777" w:rsidR="00982991" w:rsidRDefault="00982991">
      <w:pPr>
        <w:pStyle w:val="Heading2"/>
        <w:rPr>
          <w:rFonts w:asciiTheme="minorHAnsi" w:hAnsiTheme="minorHAnsi" w:cstheme="minorBidi"/>
          <w:kern w:val="2"/>
          <w:sz w:val="36"/>
          <w:szCs w:val="36"/>
          <w14:ligatures w14:val="standardContextual"/>
        </w:rPr>
      </w:pPr>
      <w:r>
        <w:rPr>
          <w:rFonts w:asciiTheme="minorHAnsi" w:hAnsiTheme="minorHAnsi" w:cstheme="minorBidi"/>
        </w:rPr>
        <w:t>7.1 Require Independent Cost Verification</w:t>
      </w:r>
    </w:p>
    <w:p w14:paraId="63199CF9" w14:textId="77777777" w:rsidR="001B5F9C" w:rsidRPr="001B5F9C" w:rsidRDefault="001B5F9C" w:rsidP="001B5F9C">
      <w:pPr>
        <w:spacing w:line="278" w:lineRule="auto"/>
      </w:pPr>
      <w:r w:rsidRPr="001B5F9C">
        <w:t>The estimated development cost of approximately $675,611 per residential unit is unusually high and warrants a detailed independent review.</w:t>
      </w:r>
    </w:p>
    <w:p w14:paraId="68A7F251" w14:textId="77777777" w:rsidR="001B5F9C" w:rsidRPr="001B5F9C" w:rsidRDefault="001B5F9C" w:rsidP="001B5F9C">
      <w:pPr>
        <w:spacing w:line="278" w:lineRule="auto"/>
      </w:pPr>
      <w:r w:rsidRPr="001B5F9C">
        <w:t xml:space="preserve">The </w:t>
      </w:r>
      <w:proofErr w:type="gramStart"/>
      <w:r w:rsidRPr="001B5F9C">
        <w:t>City</w:t>
      </w:r>
      <w:proofErr w:type="gramEnd"/>
      <w:r w:rsidRPr="001B5F9C">
        <w:t xml:space="preserve"> should require an engineering and line-item audit of:</w:t>
      </w:r>
    </w:p>
    <w:p w14:paraId="0E0802EB" w14:textId="77777777" w:rsidR="001B5F9C" w:rsidRPr="001B5F9C" w:rsidRDefault="001B5F9C" w:rsidP="001B5F9C">
      <w:pPr>
        <w:numPr>
          <w:ilvl w:val="0"/>
          <w:numId w:val="13"/>
        </w:numPr>
        <w:spacing w:line="278" w:lineRule="auto"/>
      </w:pPr>
      <w:r w:rsidRPr="001B5F9C">
        <w:t>Construction costs;</w:t>
      </w:r>
    </w:p>
    <w:p w14:paraId="64649DA7" w14:textId="77777777" w:rsidR="001B5F9C" w:rsidRPr="001B5F9C" w:rsidRDefault="001B5F9C" w:rsidP="001B5F9C">
      <w:pPr>
        <w:numPr>
          <w:ilvl w:val="0"/>
          <w:numId w:val="13"/>
        </w:numPr>
        <w:spacing w:line="278" w:lineRule="auto"/>
      </w:pPr>
      <w:r w:rsidRPr="001B5F9C">
        <w:t>Professional and consulting fees;</w:t>
      </w:r>
    </w:p>
    <w:p w14:paraId="0300F6EC" w14:textId="77777777" w:rsidR="001B5F9C" w:rsidRPr="001B5F9C" w:rsidRDefault="001B5F9C" w:rsidP="001B5F9C">
      <w:pPr>
        <w:numPr>
          <w:ilvl w:val="0"/>
          <w:numId w:val="13"/>
        </w:numPr>
        <w:spacing w:line="278" w:lineRule="auto"/>
      </w:pPr>
      <w:r w:rsidRPr="001B5F9C">
        <w:t>Financing expenses;</w:t>
      </w:r>
    </w:p>
    <w:p w14:paraId="570D7ABF" w14:textId="77777777" w:rsidR="001B5F9C" w:rsidRPr="001B5F9C" w:rsidRDefault="001B5F9C" w:rsidP="001B5F9C">
      <w:pPr>
        <w:numPr>
          <w:ilvl w:val="0"/>
          <w:numId w:val="13"/>
        </w:numPr>
        <w:spacing w:line="278" w:lineRule="auto"/>
      </w:pPr>
      <w:r w:rsidRPr="001B5F9C">
        <w:t>Developer fees;</w:t>
      </w:r>
    </w:p>
    <w:p w14:paraId="3B2AE860" w14:textId="77777777" w:rsidR="001B5F9C" w:rsidRPr="001B5F9C" w:rsidRDefault="001B5F9C" w:rsidP="001B5F9C">
      <w:pPr>
        <w:numPr>
          <w:ilvl w:val="0"/>
          <w:numId w:val="13"/>
        </w:numPr>
        <w:spacing w:line="278" w:lineRule="auto"/>
      </w:pPr>
      <w:r w:rsidRPr="001B5F9C">
        <w:t>Environmental remediation costs;</w:t>
      </w:r>
    </w:p>
    <w:p w14:paraId="7821866F" w14:textId="77777777" w:rsidR="001B5F9C" w:rsidRPr="001B5F9C" w:rsidRDefault="001B5F9C" w:rsidP="001B5F9C">
      <w:pPr>
        <w:numPr>
          <w:ilvl w:val="0"/>
          <w:numId w:val="13"/>
        </w:numPr>
        <w:spacing w:line="278" w:lineRule="auto"/>
      </w:pPr>
      <w:r w:rsidRPr="001B5F9C">
        <w:t>Infrastructure expenses;</w:t>
      </w:r>
    </w:p>
    <w:p w14:paraId="392F4F2E" w14:textId="77777777" w:rsidR="001B5F9C" w:rsidRPr="001B5F9C" w:rsidRDefault="001B5F9C" w:rsidP="001B5F9C">
      <w:pPr>
        <w:numPr>
          <w:ilvl w:val="0"/>
          <w:numId w:val="13"/>
        </w:numPr>
        <w:spacing w:line="278" w:lineRule="auto"/>
      </w:pPr>
      <w:r w:rsidRPr="001B5F9C">
        <w:lastRenderedPageBreak/>
        <w:t>Contingencies; and</w:t>
      </w:r>
    </w:p>
    <w:p w14:paraId="66FD5F1E" w14:textId="77777777" w:rsidR="001B5F9C" w:rsidRPr="001B5F9C" w:rsidRDefault="001B5F9C" w:rsidP="001B5F9C">
      <w:pPr>
        <w:numPr>
          <w:ilvl w:val="0"/>
          <w:numId w:val="13"/>
        </w:numPr>
        <w:spacing w:line="278" w:lineRule="auto"/>
      </w:pPr>
      <w:r w:rsidRPr="001B5F9C">
        <w:t>Related-party transactions.</w:t>
      </w:r>
    </w:p>
    <w:p w14:paraId="2136DFB6" w14:textId="77777777" w:rsidR="001B5F9C" w:rsidRPr="001B5F9C" w:rsidRDefault="001B5F9C" w:rsidP="001B5F9C">
      <w:pPr>
        <w:spacing w:line="278" w:lineRule="auto"/>
      </w:pPr>
      <w:r w:rsidRPr="001B5F9C">
        <w:t>Only verified and reasonable costs should be included when determining the level of tax assistance required.</w:t>
      </w:r>
    </w:p>
    <w:p w14:paraId="29A48F9A" w14:textId="77777777" w:rsidR="00982991" w:rsidRDefault="00982991">
      <w:pPr>
        <w:pStyle w:val="Heading2"/>
        <w:rPr>
          <w:rFonts w:asciiTheme="minorHAnsi" w:hAnsiTheme="minorHAnsi" w:cstheme="minorBidi"/>
          <w:kern w:val="2"/>
          <w:sz w:val="36"/>
          <w:szCs w:val="36"/>
          <w14:ligatures w14:val="standardContextual"/>
        </w:rPr>
      </w:pPr>
      <w:r>
        <w:rPr>
          <w:rFonts w:asciiTheme="minorHAnsi" w:hAnsiTheme="minorHAnsi" w:cstheme="minorBidi"/>
        </w:rPr>
        <w:t>7.2 Account for Public Land and Other Subsidies</w:t>
      </w:r>
    </w:p>
    <w:p w14:paraId="61B88979" w14:textId="77777777" w:rsidR="001B5F9C" w:rsidRPr="001B5F9C" w:rsidRDefault="001B5F9C" w:rsidP="001B5F9C">
      <w:pPr>
        <w:spacing w:line="278" w:lineRule="auto"/>
      </w:pPr>
      <w:r w:rsidRPr="001B5F9C">
        <w:t>Any transfer, lease, or contribution of publicly controlled land at below-market value should be independently appraised and disclosed as a public subsidy.</w:t>
      </w:r>
    </w:p>
    <w:p w14:paraId="7F7EC909" w14:textId="77777777" w:rsidR="001B5F9C" w:rsidRPr="001B5F9C" w:rsidRDefault="001B5F9C" w:rsidP="001B5F9C">
      <w:pPr>
        <w:spacing w:line="278" w:lineRule="auto"/>
      </w:pPr>
      <w:r w:rsidRPr="001B5F9C">
        <w:t>The value of public land, infrastructure improvements, grants, tax credits, and other governmental support should be included when calculating the total public investment in the project.</w:t>
      </w:r>
    </w:p>
    <w:p w14:paraId="6B3812A9" w14:textId="77777777" w:rsidR="00982991" w:rsidRDefault="00982991">
      <w:pPr>
        <w:pStyle w:val="Heading2"/>
        <w:rPr>
          <w:rFonts w:asciiTheme="minorHAnsi" w:hAnsiTheme="minorHAnsi" w:cstheme="minorBidi"/>
          <w:kern w:val="2"/>
          <w:sz w:val="36"/>
          <w:szCs w:val="36"/>
          <w14:ligatures w14:val="standardContextual"/>
        </w:rPr>
      </w:pPr>
      <w:r>
        <w:rPr>
          <w:rFonts w:asciiTheme="minorHAnsi" w:hAnsiTheme="minorHAnsi" w:cstheme="minorBidi"/>
        </w:rPr>
        <w:t>7.3 Evaluate Shorter PILOT Terms</w:t>
      </w:r>
    </w:p>
    <w:p w14:paraId="3B260905" w14:textId="77777777" w:rsidR="001B5F9C" w:rsidRPr="001B5F9C" w:rsidRDefault="001B5F9C" w:rsidP="001B5F9C">
      <w:pPr>
        <w:spacing w:line="278" w:lineRule="auto"/>
      </w:pPr>
      <w:r w:rsidRPr="001B5F9C">
        <w:t>The City should model PILOT terms of 15, 20, and 25 years rather than assuming that a 30-year agreement is necessary.</w:t>
      </w:r>
    </w:p>
    <w:p w14:paraId="3D34D5E4" w14:textId="77777777" w:rsidR="001B5F9C" w:rsidRPr="001B5F9C" w:rsidRDefault="001B5F9C" w:rsidP="001B5F9C">
      <w:pPr>
        <w:spacing w:line="278" w:lineRule="auto"/>
      </w:pPr>
      <w:r w:rsidRPr="001B5F9C">
        <w:t>Each scenario should identify:</w:t>
      </w:r>
    </w:p>
    <w:p w14:paraId="2EFE53D6" w14:textId="77777777" w:rsidR="001B5F9C" w:rsidRPr="001B5F9C" w:rsidRDefault="001B5F9C" w:rsidP="001B5F9C">
      <w:pPr>
        <w:numPr>
          <w:ilvl w:val="0"/>
          <w:numId w:val="14"/>
        </w:numPr>
        <w:spacing w:line="278" w:lineRule="auto"/>
      </w:pPr>
      <w:r w:rsidRPr="001B5F9C">
        <w:t>Projected municipal revenue;</w:t>
      </w:r>
    </w:p>
    <w:p w14:paraId="6DE30192" w14:textId="77777777" w:rsidR="001B5F9C" w:rsidRPr="001B5F9C" w:rsidRDefault="001B5F9C" w:rsidP="001B5F9C">
      <w:pPr>
        <w:numPr>
          <w:ilvl w:val="0"/>
          <w:numId w:val="14"/>
        </w:numPr>
        <w:spacing w:line="278" w:lineRule="auto"/>
      </w:pPr>
      <w:r w:rsidRPr="001B5F9C">
        <w:t>Projected conventional property taxes;</w:t>
      </w:r>
    </w:p>
    <w:p w14:paraId="38C02D29" w14:textId="77777777" w:rsidR="001B5F9C" w:rsidRPr="001B5F9C" w:rsidRDefault="001B5F9C" w:rsidP="001B5F9C">
      <w:pPr>
        <w:numPr>
          <w:ilvl w:val="0"/>
          <w:numId w:val="14"/>
        </w:numPr>
        <w:spacing w:line="278" w:lineRule="auto"/>
      </w:pPr>
      <w:r w:rsidRPr="001B5F9C">
        <w:t>Developer return;</w:t>
      </w:r>
    </w:p>
    <w:p w14:paraId="3F913FC2" w14:textId="77777777" w:rsidR="001B5F9C" w:rsidRPr="001B5F9C" w:rsidRDefault="001B5F9C" w:rsidP="001B5F9C">
      <w:pPr>
        <w:numPr>
          <w:ilvl w:val="0"/>
          <w:numId w:val="14"/>
        </w:numPr>
        <w:spacing w:line="278" w:lineRule="auto"/>
      </w:pPr>
      <w:r w:rsidRPr="001B5F9C">
        <w:t>Debt-Service Coverage Ratio;</w:t>
      </w:r>
    </w:p>
    <w:p w14:paraId="4247C25A" w14:textId="77777777" w:rsidR="001B5F9C" w:rsidRPr="001B5F9C" w:rsidRDefault="001B5F9C" w:rsidP="001B5F9C">
      <w:pPr>
        <w:numPr>
          <w:ilvl w:val="0"/>
          <w:numId w:val="14"/>
        </w:numPr>
        <w:spacing w:line="278" w:lineRule="auto"/>
      </w:pPr>
      <w:r w:rsidRPr="001B5F9C">
        <w:t>Affordable housing commitments;</w:t>
      </w:r>
    </w:p>
    <w:p w14:paraId="55F7DE78" w14:textId="77777777" w:rsidR="001B5F9C" w:rsidRPr="001B5F9C" w:rsidRDefault="001B5F9C" w:rsidP="001B5F9C">
      <w:pPr>
        <w:numPr>
          <w:ilvl w:val="0"/>
          <w:numId w:val="14"/>
        </w:numPr>
        <w:spacing w:line="278" w:lineRule="auto"/>
      </w:pPr>
      <w:r w:rsidRPr="001B5F9C">
        <w:t>Public benefits; and</w:t>
      </w:r>
    </w:p>
    <w:p w14:paraId="211E9164" w14:textId="77777777" w:rsidR="001B5F9C" w:rsidRPr="001B5F9C" w:rsidRDefault="001B5F9C" w:rsidP="001B5F9C">
      <w:pPr>
        <w:numPr>
          <w:ilvl w:val="0"/>
          <w:numId w:val="14"/>
        </w:numPr>
        <w:spacing w:line="278" w:lineRule="auto"/>
      </w:pPr>
      <w:r w:rsidRPr="001B5F9C">
        <w:t>The point at which the project can reasonably return to conventional taxation.</w:t>
      </w:r>
    </w:p>
    <w:p w14:paraId="2CBC5D1B" w14:textId="77777777" w:rsidR="001B5F9C" w:rsidRPr="001B5F9C" w:rsidRDefault="001B5F9C" w:rsidP="001B5F9C">
      <w:pPr>
        <w:spacing w:line="278" w:lineRule="auto"/>
      </w:pPr>
      <w:r w:rsidRPr="001B5F9C">
        <w:t>The selected term should be the shortest period demonstrated to make the project financially feasible.</w:t>
      </w:r>
    </w:p>
    <w:p w14:paraId="44D481DA" w14:textId="77777777" w:rsidR="00982991" w:rsidRDefault="00982991">
      <w:pPr>
        <w:pStyle w:val="Heading2"/>
        <w:rPr>
          <w:rFonts w:asciiTheme="minorHAnsi" w:hAnsiTheme="minorHAnsi" w:cstheme="minorBidi"/>
          <w:kern w:val="2"/>
          <w:sz w:val="36"/>
          <w:szCs w:val="36"/>
          <w14:ligatures w14:val="standardContextual"/>
        </w:rPr>
      </w:pPr>
      <w:r>
        <w:rPr>
          <w:rFonts w:asciiTheme="minorHAnsi" w:hAnsiTheme="minorHAnsi" w:cstheme="minorBidi"/>
        </w:rPr>
        <w:t>7.4 Require Five-Year Financial Reviews</w:t>
      </w:r>
    </w:p>
    <w:p w14:paraId="0309282F" w14:textId="77777777" w:rsidR="001B5F9C" w:rsidRPr="001B5F9C" w:rsidRDefault="001B5F9C" w:rsidP="001B5F9C">
      <w:pPr>
        <w:spacing w:line="278" w:lineRule="auto"/>
      </w:pPr>
      <w:r w:rsidRPr="001B5F9C">
        <w:t>Every long-term PILOT agreement should require a comprehensive financial and market review at least once every five years.</w:t>
      </w:r>
    </w:p>
    <w:p w14:paraId="11573C70" w14:textId="77777777" w:rsidR="001B5F9C" w:rsidRPr="001B5F9C" w:rsidRDefault="001B5F9C" w:rsidP="001B5F9C">
      <w:pPr>
        <w:spacing w:line="278" w:lineRule="auto"/>
      </w:pPr>
      <w:r w:rsidRPr="001B5F9C">
        <w:t xml:space="preserve">Reviews should </w:t>
      </w:r>
      <w:proofErr w:type="gramStart"/>
      <w:r w:rsidRPr="001B5F9C">
        <w:t>examine</w:t>
      </w:r>
      <w:proofErr w:type="gramEnd"/>
      <w:r w:rsidRPr="001B5F9C">
        <w:t>:</w:t>
      </w:r>
    </w:p>
    <w:p w14:paraId="5AB6525B" w14:textId="77777777" w:rsidR="001B5F9C" w:rsidRPr="001B5F9C" w:rsidRDefault="001B5F9C" w:rsidP="001B5F9C">
      <w:pPr>
        <w:numPr>
          <w:ilvl w:val="0"/>
          <w:numId w:val="15"/>
        </w:numPr>
        <w:spacing w:line="278" w:lineRule="auto"/>
      </w:pPr>
      <w:r w:rsidRPr="001B5F9C">
        <w:t>Actual project revenues and operating costs;</w:t>
      </w:r>
    </w:p>
    <w:p w14:paraId="1F824A59" w14:textId="77777777" w:rsidR="001B5F9C" w:rsidRPr="001B5F9C" w:rsidRDefault="001B5F9C" w:rsidP="001B5F9C">
      <w:pPr>
        <w:numPr>
          <w:ilvl w:val="0"/>
          <w:numId w:val="15"/>
        </w:numPr>
        <w:spacing w:line="278" w:lineRule="auto"/>
      </w:pPr>
      <w:r w:rsidRPr="001B5F9C">
        <w:t>Occupancy and rental performance;</w:t>
      </w:r>
    </w:p>
    <w:p w14:paraId="646AF147" w14:textId="77777777" w:rsidR="001B5F9C" w:rsidRPr="001B5F9C" w:rsidRDefault="001B5F9C" w:rsidP="001B5F9C">
      <w:pPr>
        <w:numPr>
          <w:ilvl w:val="0"/>
          <w:numId w:val="15"/>
        </w:numPr>
        <w:spacing w:line="278" w:lineRule="auto"/>
      </w:pPr>
      <w:r w:rsidRPr="001B5F9C">
        <w:lastRenderedPageBreak/>
        <w:t>Changes in assessed value;</w:t>
      </w:r>
    </w:p>
    <w:p w14:paraId="75B70C6D" w14:textId="77777777" w:rsidR="001B5F9C" w:rsidRPr="001B5F9C" w:rsidRDefault="001B5F9C" w:rsidP="001B5F9C">
      <w:pPr>
        <w:numPr>
          <w:ilvl w:val="0"/>
          <w:numId w:val="15"/>
        </w:numPr>
        <w:spacing w:line="278" w:lineRule="auto"/>
      </w:pPr>
      <w:r w:rsidRPr="001B5F9C">
        <w:t>Refinancing proceeds;</w:t>
      </w:r>
    </w:p>
    <w:p w14:paraId="0A64B76C" w14:textId="77777777" w:rsidR="001B5F9C" w:rsidRPr="001B5F9C" w:rsidRDefault="001B5F9C" w:rsidP="001B5F9C">
      <w:pPr>
        <w:numPr>
          <w:ilvl w:val="0"/>
          <w:numId w:val="15"/>
        </w:numPr>
        <w:spacing w:line="278" w:lineRule="auto"/>
      </w:pPr>
      <w:r w:rsidRPr="001B5F9C">
        <w:t>Ownership changes;</w:t>
      </w:r>
    </w:p>
    <w:p w14:paraId="54DD6D98" w14:textId="77777777" w:rsidR="001B5F9C" w:rsidRPr="001B5F9C" w:rsidRDefault="001B5F9C" w:rsidP="001B5F9C">
      <w:pPr>
        <w:numPr>
          <w:ilvl w:val="0"/>
          <w:numId w:val="15"/>
        </w:numPr>
        <w:spacing w:line="278" w:lineRule="auto"/>
      </w:pPr>
      <w:r w:rsidRPr="001B5F9C">
        <w:t>Developer returns;</w:t>
      </w:r>
    </w:p>
    <w:p w14:paraId="4DC2455F" w14:textId="77777777" w:rsidR="001B5F9C" w:rsidRPr="001B5F9C" w:rsidRDefault="001B5F9C" w:rsidP="001B5F9C">
      <w:pPr>
        <w:numPr>
          <w:ilvl w:val="0"/>
          <w:numId w:val="15"/>
        </w:numPr>
        <w:spacing w:line="278" w:lineRule="auto"/>
      </w:pPr>
      <w:r w:rsidRPr="001B5F9C">
        <w:t>Compliance with affordable housing requirements; and</w:t>
      </w:r>
    </w:p>
    <w:p w14:paraId="30EC2F98" w14:textId="77777777" w:rsidR="001B5F9C" w:rsidRPr="001B5F9C" w:rsidRDefault="001B5F9C" w:rsidP="001B5F9C">
      <w:pPr>
        <w:numPr>
          <w:ilvl w:val="0"/>
          <w:numId w:val="15"/>
        </w:numPr>
        <w:spacing w:line="278" w:lineRule="auto"/>
      </w:pPr>
      <w:r w:rsidRPr="001B5F9C">
        <w:t>Delivery of community benefits.</w:t>
      </w:r>
    </w:p>
    <w:p w14:paraId="6FEAAB24" w14:textId="77777777" w:rsidR="001B5F9C" w:rsidRPr="001B5F9C" w:rsidRDefault="001B5F9C" w:rsidP="001B5F9C">
      <w:pPr>
        <w:spacing w:line="278" w:lineRule="auto"/>
      </w:pPr>
      <w:r w:rsidRPr="001B5F9C">
        <w:t>The agreement should authorize adjustments, recapture provisions, or other remedies when actual project performance materially exceeds the assumptions used to justify the original tax assistance.</w:t>
      </w:r>
    </w:p>
    <w:p w14:paraId="66EB240D" w14:textId="77777777" w:rsidR="00982991" w:rsidRDefault="00982991">
      <w:pPr>
        <w:pStyle w:val="Heading2"/>
        <w:rPr>
          <w:rFonts w:asciiTheme="minorHAnsi" w:hAnsiTheme="minorHAnsi" w:cstheme="minorBidi"/>
          <w:kern w:val="2"/>
          <w:sz w:val="36"/>
          <w:szCs w:val="36"/>
          <w14:ligatures w14:val="standardContextual"/>
        </w:rPr>
      </w:pPr>
      <w:r>
        <w:rPr>
          <w:rFonts w:asciiTheme="minorHAnsi" w:hAnsiTheme="minorHAnsi" w:cstheme="minorBidi"/>
        </w:rPr>
        <w:t xml:space="preserve">7.5 Establish </w:t>
      </w:r>
      <w:proofErr w:type="spellStart"/>
      <w:r>
        <w:rPr>
          <w:rFonts w:asciiTheme="minorHAnsi" w:hAnsiTheme="minorHAnsi" w:cstheme="minorBidi"/>
        </w:rPr>
        <w:t>Clawback</w:t>
      </w:r>
      <w:proofErr w:type="spellEnd"/>
      <w:r>
        <w:rPr>
          <w:rFonts w:asciiTheme="minorHAnsi" w:hAnsiTheme="minorHAnsi" w:cstheme="minorBidi"/>
        </w:rPr>
        <w:t xml:space="preserve"> and Recapture Provisions</w:t>
      </w:r>
    </w:p>
    <w:p w14:paraId="5B80C6BC" w14:textId="77777777" w:rsidR="001B5F9C" w:rsidRPr="001B5F9C" w:rsidRDefault="001B5F9C" w:rsidP="001B5F9C">
      <w:pPr>
        <w:spacing w:line="278" w:lineRule="auto"/>
      </w:pPr>
      <w:r w:rsidRPr="001B5F9C">
        <w:t>Tax abatement agreements should include mandatory protections when a project is sold, refinanced, converted, or otherwise generates substantial unanticipated gains.</w:t>
      </w:r>
    </w:p>
    <w:p w14:paraId="76550FA2" w14:textId="77777777" w:rsidR="001B5F9C" w:rsidRPr="001B5F9C" w:rsidRDefault="001B5F9C" w:rsidP="001B5F9C">
      <w:pPr>
        <w:spacing w:line="278" w:lineRule="auto"/>
      </w:pPr>
      <w:r w:rsidRPr="001B5F9C">
        <w:t xml:space="preserve">Potential </w:t>
      </w:r>
      <w:proofErr w:type="gramStart"/>
      <w:r w:rsidRPr="001B5F9C">
        <w:t>protections include</w:t>
      </w:r>
      <w:proofErr w:type="gramEnd"/>
      <w:r w:rsidRPr="001B5F9C">
        <w:t>:</w:t>
      </w:r>
    </w:p>
    <w:p w14:paraId="3845A4ED" w14:textId="77777777" w:rsidR="001B5F9C" w:rsidRPr="001B5F9C" w:rsidRDefault="001B5F9C" w:rsidP="001B5F9C">
      <w:pPr>
        <w:numPr>
          <w:ilvl w:val="0"/>
          <w:numId w:val="16"/>
        </w:numPr>
        <w:spacing w:line="278" w:lineRule="auto"/>
      </w:pPr>
      <w:r w:rsidRPr="001B5F9C">
        <w:t>Municipal participation in extraordinary refinancing proceeds;</w:t>
      </w:r>
    </w:p>
    <w:p w14:paraId="62D4E14D" w14:textId="77777777" w:rsidR="001B5F9C" w:rsidRPr="001B5F9C" w:rsidRDefault="001B5F9C" w:rsidP="001B5F9C">
      <w:pPr>
        <w:numPr>
          <w:ilvl w:val="0"/>
          <w:numId w:val="16"/>
        </w:numPr>
        <w:spacing w:line="278" w:lineRule="auto"/>
      </w:pPr>
      <w:r w:rsidRPr="001B5F9C">
        <w:t>Partial repayment of previously granted tax benefits;</w:t>
      </w:r>
    </w:p>
    <w:p w14:paraId="1BD43292" w14:textId="77777777" w:rsidR="001B5F9C" w:rsidRPr="001B5F9C" w:rsidRDefault="001B5F9C" w:rsidP="001B5F9C">
      <w:pPr>
        <w:numPr>
          <w:ilvl w:val="0"/>
          <w:numId w:val="16"/>
        </w:numPr>
        <w:spacing w:line="278" w:lineRule="auto"/>
      </w:pPr>
      <w:r w:rsidRPr="001B5F9C">
        <w:t>Adjustments to future PILOT payments;</w:t>
      </w:r>
    </w:p>
    <w:p w14:paraId="36A4DE96" w14:textId="77777777" w:rsidR="001B5F9C" w:rsidRPr="001B5F9C" w:rsidRDefault="001B5F9C" w:rsidP="001B5F9C">
      <w:pPr>
        <w:numPr>
          <w:ilvl w:val="0"/>
          <w:numId w:val="16"/>
        </w:numPr>
        <w:spacing w:line="278" w:lineRule="auto"/>
      </w:pPr>
      <w:r w:rsidRPr="001B5F9C">
        <w:t>Preservation of affordable housing restrictions; and</w:t>
      </w:r>
    </w:p>
    <w:p w14:paraId="6DFBE845" w14:textId="77777777" w:rsidR="001B5F9C" w:rsidRPr="001B5F9C" w:rsidRDefault="001B5F9C" w:rsidP="001B5F9C">
      <w:pPr>
        <w:numPr>
          <w:ilvl w:val="0"/>
          <w:numId w:val="16"/>
        </w:numPr>
        <w:spacing w:line="278" w:lineRule="auto"/>
      </w:pPr>
      <w:r w:rsidRPr="001B5F9C">
        <w:t>Termination or modification of the agreement following material noncompliance.</w:t>
      </w:r>
    </w:p>
    <w:p w14:paraId="351ACE25" w14:textId="77777777" w:rsidR="00982991" w:rsidRDefault="00982991">
      <w:pPr>
        <w:pStyle w:val="Heading2"/>
        <w:rPr>
          <w:rFonts w:asciiTheme="minorHAnsi" w:hAnsiTheme="minorHAnsi" w:cstheme="minorBidi"/>
          <w:kern w:val="2"/>
          <w:sz w:val="36"/>
          <w:szCs w:val="36"/>
          <w14:ligatures w14:val="standardContextual"/>
        </w:rPr>
      </w:pPr>
      <w:r>
        <w:rPr>
          <w:rFonts w:asciiTheme="minorHAnsi" w:hAnsiTheme="minorHAnsi" w:cstheme="minorBidi"/>
        </w:rPr>
        <w:t>7.6 Strengthen Affordable Homeownership</w:t>
      </w:r>
    </w:p>
    <w:p w14:paraId="569E2B09" w14:textId="77777777" w:rsidR="001B5F9C" w:rsidRPr="001B5F9C" w:rsidRDefault="001B5F9C" w:rsidP="001B5F9C">
      <w:pPr>
        <w:spacing w:line="278" w:lineRule="auto"/>
      </w:pPr>
      <w:r w:rsidRPr="001B5F9C">
        <w:t xml:space="preserve">The </w:t>
      </w:r>
      <w:proofErr w:type="gramStart"/>
      <w:r w:rsidRPr="001B5F9C">
        <w:t>City</w:t>
      </w:r>
      <w:proofErr w:type="gramEnd"/>
      <w:r w:rsidRPr="001B5F9C">
        <w:t xml:space="preserve"> should evaluate whether approximately 25 percent of the residential units could be dedicated to affordable homeownership opportunities, using models such as Holland Gardens or 311 Ocean Avenue.</w:t>
      </w:r>
    </w:p>
    <w:p w14:paraId="0CE5E658" w14:textId="77777777" w:rsidR="001B5F9C" w:rsidRPr="001B5F9C" w:rsidRDefault="001B5F9C" w:rsidP="001B5F9C">
      <w:pPr>
        <w:spacing w:line="278" w:lineRule="auto"/>
      </w:pPr>
      <w:r w:rsidRPr="001B5F9C">
        <w:t>Affordable homeownership can:</w:t>
      </w:r>
    </w:p>
    <w:p w14:paraId="6AC26AEC" w14:textId="77777777" w:rsidR="001B5F9C" w:rsidRPr="001B5F9C" w:rsidRDefault="001B5F9C" w:rsidP="001B5F9C">
      <w:pPr>
        <w:numPr>
          <w:ilvl w:val="0"/>
          <w:numId w:val="17"/>
        </w:numPr>
        <w:spacing w:line="278" w:lineRule="auto"/>
      </w:pPr>
      <w:r w:rsidRPr="001B5F9C">
        <w:t>Help local households build generational wealth;</w:t>
      </w:r>
    </w:p>
    <w:p w14:paraId="3F8CDF56" w14:textId="77777777" w:rsidR="001B5F9C" w:rsidRPr="001B5F9C" w:rsidRDefault="001B5F9C" w:rsidP="001B5F9C">
      <w:pPr>
        <w:numPr>
          <w:ilvl w:val="0"/>
          <w:numId w:val="17"/>
        </w:numPr>
        <w:spacing w:line="278" w:lineRule="auto"/>
      </w:pPr>
      <w:r w:rsidRPr="001B5F9C">
        <w:t>Create long-term neighborhood stability;</w:t>
      </w:r>
    </w:p>
    <w:p w14:paraId="1A60CCE6" w14:textId="77777777" w:rsidR="001B5F9C" w:rsidRPr="001B5F9C" w:rsidRDefault="001B5F9C" w:rsidP="001B5F9C">
      <w:pPr>
        <w:numPr>
          <w:ilvl w:val="0"/>
          <w:numId w:val="17"/>
        </w:numPr>
        <w:spacing w:line="278" w:lineRule="auto"/>
      </w:pPr>
      <w:r w:rsidRPr="001B5F9C">
        <w:t>Expand the future property tax base;</w:t>
      </w:r>
    </w:p>
    <w:p w14:paraId="0EA14130" w14:textId="77777777" w:rsidR="001B5F9C" w:rsidRPr="001B5F9C" w:rsidRDefault="001B5F9C" w:rsidP="001B5F9C">
      <w:pPr>
        <w:numPr>
          <w:ilvl w:val="0"/>
          <w:numId w:val="17"/>
        </w:numPr>
        <w:spacing w:line="278" w:lineRule="auto"/>
      </w:pPr>
      <w:r w:rsidRPr="001B5F9C">
        <w:t>Provide residents with a direct stake in redevelopment; and</w:t>
      </w:r>
    </w:p>
    <w:p w14:paraId="5B4E99AA" w14:textId="77777777" w:rsidR="001B5F9C" w:rsidRPr="001B5F9C" w:rsidRDefault="001B5F9C" w:rsidP="001B5F9C">
      <w:pPr>
        <w:numPr>
          <w:ilvl w:val="0"/>
          <w:numId w:val="17"/>
        </w:numPr>
        <w:spacing w:line="278" w:lineRule="auto"/>
      </w:pPr>
      <w:r w:rsidRPr="001B5F9C">
        <w:t>Reduce the displacement risks associated with large-scale development.</w:t>
      </w:r>
    </w:p>
    <w:p w14:paraId="7169F6AE" w14:textId="77777777" w:rsidR="001B5F9C" w:rsidRPr="001B5F9C" w:rsidRDefault="001B5F9C" w:rsidP="001B5F9C">
      <w:pPr>
        <w:spacing w:line="278" w:lineRule="auto"/>
      </w:pPr>
      <w:r w:rsidRPr="001B5F9C">
        <w:lastRenderedPageBreak/>
        <w:t>Rental affordability and affordable homeownership should be evaluated together as complementary public policy objectives.</w:t>
      </w:r>
    </w:p>
    <w:p w14:paraId="09296EF2" w14:textId="77777777" w:rsidR="001B5F9C" w:rsidRPr="001B5F9C" w:rsidRDefault="001B5F9C" w:rsidP="001B5F9C">
      <w:pPr>
        <w:spacing w:line="278" w:lineRule="auto"/>
      </w:pPr>
      <w:r w:rsidRPr="001B5F9C">
        <w:pict w14:anchorId="50424FC5">
          <v:rect id="_x0000_i1391" style="width:0;height:1.5pt" o:hralign="center" o:hrstd="t" o:hr="t" fillcolor="#a0a0a0" stroked="f"/>
        </w:pict>
      </w:r>
    </w:p>
    <w:p w14:paraId="51BABB3C"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t>8. Historical and Community Context</w:t>
      </w:r>
    </w:p>
    <w:p w14:paraId="1921F474" w14:textId="77777777" w:rsidR="001B5F9C" w:rsidRPr="001B5F9C" w:rsidRDefault="001B5F9C" w:rsidP="001B5F9C">
      <w:pPr>
        <w:spacing w:line="278" w:lineRule="auto"/>
      </w:pPr>
      <w:r w:rsidRPr="001B5F9C">
        <w:t>The Garfield Avenue site has significant historical importance connected to Jersey City’s Black history and the Morris Canal’s reported role in the Underground Railroad.</w:t>
      </w:r>
    </w:p>
    <w:p w14:paraId="46ABBFC3" w14:textId="77777777" w:rsidR="001B5F9C" w:rsidRPr="001B5F9C" w:rsidRDefault="001B5F9C" w:rsidP="001B5F9C">
      <w:pPr>
        <w:spacing w:line="278" w:lineRule="auto"/>
      </w:pPr>
      <w:r w:rsidRPr="001B5F9C">
        <w:t>The surrounding Greenville community has also experienced the long-term effects of industrial contamination, disinvestment, and unequal access to economic opportunities. Redevelopment of the site should therefore include legally binding commitments that address both environmental conditions and historic community inequities.</w:t>
      </w:r>
    </w:p>
    <w:p w14:paraId="45E86977" w14:textId="77777777" w:rsidR="001B5F9C" w:rsidRPr="001B5F9C" w:rsidRDefault="001B5F9C" w:rsidP="001B5F9C">
      <w:pPr>
        <w:spacing w:line="278" w:lineRule="auto"/>
      </w:pPr>
      <w:r w:rsidRPr="001B5F9C">
        <w:t>These commitments should not be treated as voluntary aspirations. They should be incorporated into the redevelopment and financial agreements, supported by measurable standards, and enforced through meaningful remedies.</w:t>
      </w:r>
    </w:p>
    <w:p w14:paraId="0022DAF8" w14:textId="77777777" w:rsidR="001B5F9C" w:rsidRPr="001B5F9C" w:rsidRDefault="001B5F9C" w:rsidP="001B5F9C">
      <w:pPr>
        <w:spacing w:line="278" w:lineRule="auto"/>
      </w:pPr>
      <w:r w:rsidRPr="001B5F9C">
        <w:pict w14:anchorId="1AFB163B">
          <v:rect id="_x0000_i1392" style="width:0;height:1.5pt" o:hralign="center" o:hrstd="t" o:hr="t" fillcolor="#a0a0a0" stroked="f"/>
        </w:pict>
      </w:r>
    </w:p>
    <w:p w14:paraId="5A074289"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t>9. Community Benefits Plan</w:t>
      </w:r>
    </w:p>
    <w:p w14:paraId="5C7A66F3" w14:textId="77777777" w:rsidR="001B5F9C" w:rsidRPr="001B5F9C" w:rsidRDefault="001B5F9C" w:rsidP="001B5F9C">
      <w:pPr>
        <w:spacing w:line="278" w:lineRule="auto"/>
      </w:pPr>
      <w:r w:rsidRPr="001B5F9C">
        <w:t>The final agreements should include an enforceable Community Benefits Plan addressing the following areas:</w:t>
      </w:r>
    </w:p>
    <w:p w14:paraId="48C36F67" w14:textId="77777777" w:rsidR="00982991" w:rsidRDefault="00982991">
      <w:pPr>
        <w:pStyle w:val="Heading2"/>
        <w:rPr>
          <w:rFonts w:asciiTheme="minorHAnsi" w:hAnsiTheme="minorHAnsi" w:cstheme="minorBidi"/>
          <w:kern w:val="2"/>
          <w:sz w:val="36"/>
          <w:szCs w:val="36"/>
          <w14:ligatures w14:val="standardContextual"/>
        </w:rPr>
      </w:pPr>
      <w:r>
        <w:rPr>
          <w:rFonts w:asciiTheme="minorHAnsi" w:hAnsiTheme="minorHAnsi" w:cstheme="minorBidi"/>
        </w:rPr>
        <w:t>Neighborhood Investment</w:t>
      </w:r>
    </w:p>
    <w:p w14:paraId="5F4BFC82" w14:textId="77777777" w:rsidR="001B5F9C" w:rsidRPr="001B5F9C" w:rsidRDefault="001B5F9C" w:rsidP="001B5F9C">
      <w:pPr>
        <w:spacing w:line="278" w:lineRule="auto"/>
      </w:pPr>
      <w:r w:rsidRPr="001B5F9C">
        <w:t>The developer should make defined capital investments in the Greenville neighborhood, with specific project descriptions, funding amounts, completion deadlines, and maintenance responsibilities.</w:t>
      </w:r>
    </w:p>
    <w:p w14:paraId="109A8861" w14:textId="77777777" w:rsidR="00982991" w:rsidRDefault="00982991">
      <w:pPr>
        <w:pStyle w:val="Heading2"/>
        <w:rPr>
          <w:rFonts w:asciiTheme="minorHAnsi" w:hAnsiTheme="minorHAnsi" w:cstheme="minorBidi"/>
          <w:kern w:val="2"/>
          <w:sz w:val="36"/>
          <w:szCs w:val="36"/>
          <w14:ligatures w14:val="standardContextual"/>
        </w:rPr>
      </w:pPr>
      <w:r>
        <w:rPr>
          <w:rFonts w:asciiTheme="minorHAnsi" w:hAnsiTheme="minorHAnsi" w:cstheme="minorBidi"/>
        </w:rPr>
        <w:t>Local Employment and Workforce Development</w:t>
      </w:r>
    </w:p>
    <w:p w14:paraId="35939325" w14:textId="77777777" w:rsidR="001B5F9C" w:rsidRPr="001B5F9C" w:rsidRDefault="001B5F9C" w:rsidP="001B5F9C">
      <w:pPr>
        <w:spacing w:line="278" w:lineRule="auto"/>
      </w:pPr>
      <w:r w:rsidRPr="001B5F9C">
        <w:t>The agreement should establish measurable requirements for:</w:t>
      </w:r>
    </w:p>
    <w:p w14:paraId="7980CCA7" w14:textId="77777777" w:rsidR="001B5F9C" w:rsidRPr="001B5F9C" w:rsidRDefault="001B5F9C" w:rsidP="001B5F9C">
      <w:pPr>
        <w:numPr>
          <w:ilvl w:val="0"/>
          <w:numId w:val="18"/>
        </w:numPr>
        <w:spacing w:line="278" w:lineRule="auto"/>
      </w:pPr>
      <w:r w:rsidRPr="001B5F9C">
        <w:t>Local construction hiring;</w:t>
      </w:r>
    </w:p>
    <w:p w14:paraId="5D3822A5" w14:textId="77777777" w:rsidR="001B5F9C" w:rsidRPr="001B5F9C" w:rsidRDefault="001B5F9C" w:rsidP="001B5F9C">
      <w:pPr>
        <w:numPr>
          <w:ilvl w:val="0"/>
          <w:numId w:val="18"/>
        </w:numPr>
        <w:spacing w:line="278" w:lineRule="auto"/>
      </w:pPr>
      <w:r w:rsidRPr="001B5F9C">
        <w:t>Apprenticeships;</w:t>
      </w:r>
    </w:p>
    <w:p w14:paraId="4D95F712" w14:textId="77777777" w:rsidR="001B5F9C" w:rsidRPr="001B5F9C" w:rsidRDefault="001B5F9C" w:rsidP="001B5F9C">
      <w:pPr>
        <w:numPr>
          <w:ilvl w:val="0"/>
          <w:numId w:val="18"/>
        </w:numPr>
        <w:spacing w:line="278" w:lineRule="auto"/>
      </w:pPr>
      <w:r w:rsidRPr="001B5F9C">
        <w:t>Job training;</w:t>
      </w:r>
    </w:p>
    <w:p w14:paraId="0D34534C" w14:textId="77777777" w:rsidR="001B5F9C" w:rsidRPr="001B5F9C" w:rsidRDefault="001B5F9C" w:rsidP="001B5F9C">
      <w:pPr>
        <w:numPr>
          <w:ilvl w:val="0"/>
          <w:numId w:val="18"/>
        </w:numPr>
        <w:spacing w:line="278" w:lineRule="auto"/>
      </w:pPr>
      <w:r w:rsidRPr="001B5F9C">
        <w:t>Career pathways for young Black residents;</w:t>
      </w:r>
    </w:p>
    <w:p w14:paraId="2B6C3159" w14:textId="77777777" w:rsidR="001B5F9C" w:rsidRPr="001B5F9C" w:rsidRDefault="001B5F9C" w:rsidP="001B5F9C">
      <w:pPr>
        <w:numPr>
          <w:ilvl w:val="0"/>
          <w:numId w:val="18"/>
        </w:numPr>
        <w:spacing w:line="278" w:lineRule="auto"/>
      </w:pPr>
      <w:r w:rsidRPr="001B5F9C">
        <w:t>Permanent employment opportunities; and</w:t>
      </w:r>
    </w:p>
    <w:p w14:paraId="70ADF9A6" w14:textId="77777777" w:rsidR="001B5F9C" w:rsidRPr="001B5F9C" w:rsidRDefault="001B5F9C" w:rsidP="001B5F9C">
      <w:pPr>
        <w:numPr>
          <w:ilvl w:val="0"/>
          <w:numId w:val="18"/>
        </w:numPr>
        <w:spacing w:line="278" w:lineRule="auto"/>
      </w:pPr>
      <w:r w:rsidRPr="001B5F9C">
        <w:lastRenderedPageBreak/>
        <w:t>Public reporting on workforce outcomes.</w:t>
      </w:r>
    </w:p>
    <w:p w14:paraId="4886981B" w14:textId="77777777" w:rsidR="00982991" w:rsidRDefault="00982991">
      <w:pPr>
        <w:pStyle w:val="Heading2"/>
        <w:rPr>
          <w:rFonts w:asciiTheme="minorHAnsi" w:hAnsiTheme="minorHAnsi" w:cstheme="minorBidi"/>
          <w:kern w:val="2"/>
          <w:sz w:val="36"/>
          <w:szCs w:val="36"/>
          <w14:ligatures w14:val="standardContextual"/>
        </w:rPr>
      </w:pPr>
      <w:r>
        <w:rPr>
          <w:rFonts w:asciiTheme="minorHAnsi" w:hAnsiTheme="minorHAnsi" w:cstheme="minorBidi"/>
        </w:rPr>
        <w:t>Minority- and Women-Owned Business Participation</w:t>
      </w:r>
    </w:p>
    <w:p w14:paraId="43405FA2" w14:textId="77777777" w:rsidR="001B5F9C" w:rsidRPr="001B5F9C" w:rsidRDefault="001B5F9C" w:rsidP="001B5F9C">
      <w:pPr>
        <w:spacing w:line="278" w:lineRule="auto"/>
      </w:pPr>
      <w:r w:rsidRPr="001B5F9C">
        <w:t>The agreement should establish clear minority- and women-owned business enterprise contracting goals, reporting requirements, and compliance procedures consistent with applicable law.</w:t>
      </w:r>
    </w:p>
    <w:p w14:paraId="28DDAB1D" w14:textId="77777777" w:rsidR="00982991" w:rsidRDefault="00982991">
      <w:pPr>
        <w:pStyle w:val="Heading2"/>
        <w:rPr>
          <w:rFonts w:asciiTheme="minorHAnsi" w:hAnsiTheme="minorHAnsi" w:cstheme="minorBidi"/>
          <w:kern w:val="2"/>
          <w:sz w:val="36"/>
          <w:szCs w:val="36"/>
          <w14:ligatures w14:val="standardContextual"/>
        </w:rPr>
      </w:pPr>
      <w:r>
        <w:rPr>
          <w:rFonts w:asciiTheme="minorHAnsi" w:hAnsiTheme="minorHAnsi" w:cstheme="minorBidi"/>
        </w:rPr>
        <w:t>Performance and Enforcement</w:t>
      </w:r>
    </w:p>
    <w:p w14:paraId="317B932B" w14:textId="77777777" w:rsidR="001B5F9C" w:rsidRPr="001B5F9C" w:rsidRDefault="001B5F9C" w:rsidP="001B5F9C">
      <w:pPr>
        <w:spacing w:line="278" w:lineRule="auto"/>
      </w:pPr>
      <w:r w:rsidRPr="001B5F9C">
        <w:t>Every community benefit commitment should include:</w:t>
      </w:r>
    </w:p>
    <w:p w14:paraId="6CC9AE56" w14:textId="77777777" w:rsidR="001B5F9C" w:rsidRPr="001B5F9C" w:rsidRDefault="001B5F9C" w:rsidP="001B5F9C">
      <w:pPr>
        <w:numPr>
          <w:ilvl w:val="0"/>
          <w:numId w:val="19"/>
        </w:numPr>
        <w:spacing w:line="278" w:lineRule="auto"/>
      </w:pPr>
      <w:r w:rsidRPr="001B5F9C">
        <w:t>A responsible party;</w:t>
      </w:r>
    </w:p>
    <w:p w14:paraId="103211A8" w14:textId="77777777" w:rsidR="001B5F9C" w:rsidRPr="001B5F9C" w:rsidRDefault="001B5F9C" w:rsidP="001B5F9C">
      <w:pPr>
        <w:numPr>
          <w:ilvl w:val="0"/>
          <w:numId w:val="19"/>
        </w:numPr>
        <w:spacing w:line="278" w:lineRule="auto"/>
      </w:pPr>
      <w:r w:rsidRPr="001B5F9C">
        <w:t>A specific performance standard;</w:t>
      </w:r>
    </w:p>
    <w:p w14:paraId="6BDC099C" w14:textId="77777777" w:rsidR="001B5F9C" w:rsidRPr="001B5F9C" w:rsidRDefault="001B5F9C" w:rsidP="001B5F9C">
      <w:pPr>
        <w:numPr>
          <w:ilvl w:val="0"/>
          <w:numId w:val="19"/>
        </w:numPr>
        <w:spacing w:line="278" w:lineRule="auto"/>
      </w:pPr>
      <w:r w:rsidRPr="001B5F9C">
        <w:t>A completion deadline;</w:t>
      </w:r>
    </w:p>
    <w:p w14:paraId="73698C9F" w14:textId="77777777" w:rsidR="001B5F9C" w:rsidRPr="001B5F9C" w:rsidRDefault="001B5F9C" w:rsidP="001B5F9C">
      <w:pPr>
        <w:numPr>
          <w:ilvl w:val="0"/>
          <w:numId w:val="19"/>
        </w:numPr>
        <w:spacing w:line="278" w:lineRule="auto"/>
      </w:pPr>
      <w:r w:rsidRPr="001B5F9C">
        <w:t>A public reporting requirement;</w:t>
      </w:r>
    </w:p>
    <w:p w14:paraId="33449FC8" w14:textId="77777777" w:rsidR="001B5F9C" w:rsidRPr="001B5F9C" w:rsidRDefault="001B5F9C" w:rsidP="001B5F9C">
      <w:pPr>
        <w:numPr>
          <w:ilvl w:val="0"/>
          <w:numId w:val="19"/>
        </w:numPr>
        <w:spacing w:line="278" w:lineRule="auto"/>
      </w:pPr>
      <w:r w:rsidRPr="001B5F9C">
        <w:t>A monitoring and verification process; and</w:t>
      </w:r>
    </w:p>
    <w:p w14:paraId="6AB28469" w14:textId="77777777" w:rsidR="001B5F9C" w:rsidRPr="001B5F9C" w:rsidRDefault="001B5F9C" w:rsidP="001B5F9C">
      <w:pPr>
        <w:numPr>
          <w:ilvl w:val="0"/>
          <w:numId w:val="19"/>
        </w:numPr>
        <w:spacing w:line="278" w:lineRule="auto"/>
      </w:pPr>
      <w:r w:rsidRPr="001B5F9C">
        <w:t>Financial penalties or other remedies for noncompliance.</w:t>
      </w:r>
    </w:p>
    <w:p w14:paraId="5D8E984B" w14:textId="77777777" w:rsidR="001B5F9C" w:rsidRPr="001B5F9C" w:rsidRDefault="001B5F9C" w:rsidP="001B5F9C">
      <w:pPr>
        <w:spacing w:line="278" w:lineRule="auto"/>
      </w:pPr>
      <w:r w:rsidRPr="001B5F9C">
        <w:pict w14:anchorId="2D908ADC">
          <v:rect id="_x0000_i1393" style="width:0;height:1.5pt" o:hralign="center" o:hrstd="t" o:hr="t" fillcolor="#a0a0a0" stroked="f"/>
        </w:pict>
      </w:r>
    </w:p>
    <w:p w14:paraId="5F5A226C"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t>10. Recommended Statewide Standards</w:t>
      </w:r>
    </w:p>
    <w:p w14:paraId="2C2AF0DA" w14:textId="77777777" w:rsidR="001B5F9C" w:rsidRPr="001B5F9C" w:rsidRDefault="001B5F9C" w:rsidP="001B5F9C">
      <w:pPr>
        <w:spacing w:line="278" w:lineRule="auto"/>
      </w:pPr>
      <w:r w:rsidRPr="001B5F9C">
        <w:t>The Garfield Avenue review illustrates the need for broader statewide standards governing tax abatements and PILOT agreements.</w:t>
      </w:r>
    </w:p>
    <w:p w14:paraId="0666A441" w14:textId="77777777" w:rsidR="001B5F9C" w:rsidRPr="001B5F9C" w:rsidRDefault="001B5F9C" w:rsidP="001B5F9C">
      <w:pPr>
        <w:spacing w:line="278" w:lineRule="auto"/>
      </w:pPr>
      <w:r w:rsidRPr="001B5F9C">
        <w:t>New Jersey should consider requiring the following for all long-term abatements:</w:t>
      </w:r>
    </w:p>
    <w:p w14:paraId="2AB808E9" w14:textId="77777777" w:rsidR="001B5F9C" w:rsidRPr="001B5F9C" w:rsidRDefault="001B5F9C" w:rsidP="001B5F9C">
      <w:pPr>
        <w:numPr>
          <w:ilvl w:val="0"/>
          <w:numId w:val="20"/>
        </w:numPr>
        <w:spacing w:line="278" w:lineRule="auto"/>
      </w:pPr>
      <w:r w:rsidRPr="001B5F9C">
        <w:t>A standardized application and financial disclosure form;</w:t>
      </w:r>
    </w:p>
    <w:p w14:paraId="713AAE6E" w14:textId="77777777" w:rsidR="001B5F9C" w:rsidRPr="001B5F9C" w:rsidRDefault="001B5F9C" w:rsidP="001B5F9C">
      <w:pPr>
        <w:numPr>
          <w:ilvl w:val="0"/>
          <w:numId w:val="20"/>
        </w:numPr>
        <w:spacing w:line="278" w:lineRule="auto"/>
      </w:pPr>
      <w:r w:rsidRPr="001B5F9C">
        <w:t>An independent cost-benefit and fiscal impact analysis;</w:t>
      </w:r>
    </w:p>
    <w:p w14:paraId="73429F5A" w14:textId="77777777" w:rsidR="001B5F9C" w:rsidRPr="001B5F9C" w:rsidRDefault="001B5F9C" w:rsidP="001B5F9C">
      <w:pPr>
        <w:numPr>
          <w:ilvl w:val="0"/>
          <w:numId w:val="20"/>
        </w:numPr>
        <w:spacing w:line="278" w:lineRule="auto"/>
      </w:pPr>
      <w:r w:rsidRPr="001B5F9C">
        <w:t>A comparison with conventional taxation on the completed property;</w:t>
      </w:r>
    </w:p>
    <w:p w14:paraId="5DE84764" w14:textId="77777777" w:rsidR="001B5F9C" w:rsidRPr="001B5F9C" w:rsidRDefault="001B5F9C" w:rsidP="001B5F9C">
      <w:pPr>
        <w:numPr>
          <w:ilvl w:val="0"/>
          <w:numId w:val="20"/>
        </w:numPr>
        <w:spacing w:line="278" w:lineRule="auto"/>
      </w:pPr>
      <w:r w:rsidRPr="001B5F9C">
        <w:t>Public disclosure of all governmental subsidies and contributions;</w:t>
      </w:r>
    </w:p>
    <w:p w14:paraId="33079F5F" w14:textId="77777777" w:rsidR="001B5F9C" w:rsidRPr="001B5F9C" w:rsidRDefault="001B5F9C" w:rsidP="001B5F9C">
      <w:pPr>
        <w:numPr>
          <w:ilvl w:val="0"/>
          <w:numId w:val="20"/>
        </w:numPr>
        <w:spacing w:line="278" w:lineRule="auto"/>
      </w:pPr>
      <w:r w:rsidRPr="001B5F9C">
        <w:t>Evaluation of multiple abatement terms;</w:t>
      </w:r>
    </w:p>
    <w:p w14:paraId="4679C366" w14:textId="77777777" w:rsidR="001B5F9C" w:rsidRPr="001B5F9C" w:rsidRDefault="001B5F9C" w:rsidP="001B5F9C">
      <w:pPr>
        <w:numPr>
          <w:ilvl w:val="0"/>
          <w:numId w:val="20"/>
        </w:numPr>
        <w:spacing w:line="278" w:lineRule="auto"/>
      </w:pPr>
      <w:r w:rsidRPr="001B5F9C">
        <w:t>A written finding that the selected term is the minimum assistance necessary;</w:t>
      </w:r>
    </w:p>
    <w:p w14:paraId="4849E942" w14:textId="77777777" w:rsidR="001B5F9C" w:rsidRPr="001B5F9C" w:rsidRDefault="001B5F9C" w:rsidP="001B5F9C">
      <w:pPr>
        <w:numPr>
          <w:ilvl w:val="0"/>
          <w:numId w:val="20"/>
        </w:numPr>
        <w:spacing w:line="278" w:lineRule="auto"/>
      </w:pPr>
      <w:r w:rsidRPr="001B5F9C">
        <w:t>Five-year financial and compliance reviews;</w:t>
      </w:r>
    </w:p>
    <w:p w14:paraId="56867493" w14:textId="77777777" w:rsidR="001B5F9C" w:rsidRPr="001B5F9C" w:rsidRDefault="001B5F9C" w:rsidP="001B5F9C">
      <w:pPr>
        <w:numPr>
          <w:ilvl w:val="0"/>
          <w:numId w:val="20"/>
        </w:numPr>
        <w:spacing w:line="278" w:lineRule="auto"/>
      </w:pPr>
      <w:r w:rsidRPr="001B5F9C">
        <w:t xml:space="preserve">Refinancing, sale, </w:t>
      </w:r>
      <w:proofErr w:type="spellStart"/>
      <w:r w:rsidRPr="001B5F9C">
        <w:t>clawback</w:t>
      </w:r>
      <w:proofErr w:type="spellEnd"/>
      <w:r w:rsidRPr="001B5F9C">
        <w:t>, and recapture provisions;</w:t>
      </w:r>
    </w:p>
    <w:p w14:paraId="7F32FEF2" w14:textId="77777777" w:rsidR="001B5F9C" w:rsidRPr="001B5F9C" w:rsidRDefault="001B5F9C" w:rsidP="001B5F9C">
      <w:pPr>
        <w:numPr>
          <w:ilvl w:val="0"/>
          <w:numId w:val="20"/>
        </w:numPr>
        <w:spacing w:line="278" w:lineRule="auto"/>
      </w:pPr>
      <w:r w:rsidRPr="001B5F9C">
        <w:lastRenderedPageBreak/>
        <w:t>Enforceable affordable housing and community benefit requirements;</w:t>
      </w:r>
    </w:p>
    <w:p w14:paraId="626B780F" w14:textId="77777777" w:rsidR="001B5F9C" w:rsidRPr="001B5F9C" w:rsidRDefault="001B5F9C" w:rsidP="001B5F9C">
      <w:pPr>
        <w:numPr>
          <w:ilvl w:val="0"/>
          <w:numId w:val="20"/>
        </w:numPr>
        <w:spacing w:line="278" w:lineRule="auto"/>
      </w:pPr>
      <w:r w:rsidRPr="001B5F9C">
        <w:t>Analysis of school funding and county fiscal impacts;</w:t>
      </w:r>
    </w:p>
    <w:p w14:paraId="4FE9B1E3" w14:textId="77777777" w:rsidR="001B5F9C" w:rsidRPr="001B5F9C" w:rsidRDefault="001B5F9C" w:rsidP="001B5F9C">
      <w:pPr>
        <w:numPr>
          <w:ilvl w:val="0"/>
          <w:numId w:val="20"/>
        </w:numPr>
        <w:spacing w:line="278" w:lineRule="auto"/>
      </w:pPr>
      <w:r w:rsidRPr="001B5F9C">
        <w:t>Public access to supporting documents before final approval; and</w:t>
      </w:r>
    </w:p>
    <w:p w14:paraId="535A3485" w14:textId="77777777" w:rsidR="001B5F9C" w:rsidRPr="001B5F9C" w:rsidRDefault="001B5F9C" w:rsidP="001B5F9C">
      <w:pPr>
        <w:numPr>
          <w:ilvl w:val="0"/>
          <w:numId w:val="20"/>
        </w:numPr>
        <w:spacing w:line="278" w:lineRule="auto"/>
      </w:pPr>
      <w:r w:rsidRPr="001B5F9C">
        <w:t>Annual reporting on revenues, compliance, ownership, and project performance.</w:t>
      </w:r>
    </w:p>
    <w:p w14:paraId="469DB11A" w14:textId="77777777" w:rsidR="001B5F9C" w:rsidRPr="001B5F9C" w:rsidRDefault="001B5F9C" w:rsidP="001B5F9C">
      <w:pPr>
        <w:spacing w:line="278" w:lineRule="auto"/>
      </w:pPr>
      <w:r w:rsidRPr="001B5F9C">
        <w:t>These standards would not prevent municipalities from using tax abatements. Instead, they would improve consistency, transparency, and accountability while preserving flexibility for projects with legitimate financial and public policy needs.</w:t>
      </w:r>
    </w:p>
    <w:p w14:paraId="2AA003AB" w14:textId="77777777" w:rsidR="001B5F9C" w:rsidRPr="001B5F9C" w:rsidRDefault="001B5F9C" w:rsidP="001B5F9C">
      <w:pPr>
        <w:spacing w:line="278" w:lineRule="auto"/>
      </w:pPr>
      <w:r w:rsidRPr="001B5F9C">
        <w:pict w14:anchorId="1D2BE0F5">
          <v:rect id="_x0000_i1394" style="width:0;height:1.5pt" o:hralign="center" o:hrstd="t" o:hr="t" fillcolor="#a0a0a0" stroked="f"/>
        </w:pict>
      </w:r>
    </w:p>
    <w:p w14:paraId="50188D6E"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t>11. Findings</w:t>
      </w:r>
    </w:p>
    <w:p w14:paraId="046585C5" w14:textId="77777777" w:rsidR="001B5F9C" w:rsidRPr="001B5F9C" w:rsidRDefault="001B5F9C" w:rsidP="001B5F9C">
      <w:pPr>
        <w:spacing w:line="278" w:lineRule="auto"/>
      </w:pPr>
      <w:r w:rsidRPr="001B5F9C">
        <w:t>Based on the materials currently available, this preliminary assessment finds that:</w:t>
      </w:r>
    </w:p>
    <w:p w14:paraId="45C979B5" w14:textId="77777777" w:rsidR="001B5F9C" w:rsidRPr="001B5F9C" w:rsidRDefault="001B5F9C" w:rsidP="001B5F9C">
      <w:pPr>
        <w:numPr>
          <w:ilvl w:val="0"/>
          <w:numId w:val="21"/>
        </w:numPr>
        <w:spacing w:line="278" w:lineRule="auto"/>
      </w:pPr>
      <w:r w:rsidRPr="001B5F9C">
        <w:t>The Garfield Avenue project may require some level of tax assistance to achieve financial feasibility;</w:t>
      </w:r>
    </w:p>
    <w:p w14:paraId="5D4EF5DC" w14:textId="77777777" w:rsidR="001B5F9C" w:rsidRPr="001B5F9C" w:rsidRDefault="001B5F9C" w:rsidP="001B5F9C">
      <w:pPr>
        <w:numPr>
          <w:ilvl w:val="0"/>
          <w:numId w:val="21"/>
        </w:numPr>
        <w:spacing w:line="278" w:lineRule="auto"/>
      </w:pPr>
      <w:r w:rsidRPr="001B5F9C">
        <w:t>The available evidence does not establish that a 30-year PILOT is the minimum assistance required;</w:t>
      </w:r>
    </w:p>
    <w:p w14:paraId="393AE259" w14:textId="77777777" w:rsidR="001B5F9C" w:rsidRPr="001B5F9C" w:rsidRDefault="001B5F9C" w:rsidP="001B5F9C">
      <w:pPr>
        <w:numPr>
          <w:ilvl w:val="0"/>
          <w:numId w:val="21"/>
        </w:numPr>
        <w:spacing w:line="278" w:lineRule="auto"/>
      </w:pPr>
      <w:r w:rsidRPr="001B5F9C">
        <w:t>The reported municipal revenue benefit must be compared with conventional taxation on the completed development;</w:t>
      </w:r>
    </w:p>
    <w:p w14:paraId="230A399D" w14:textId="77777777" w:rsidR="001B5F9C" w:rsidRPr="001B5F9C" w:rsidRDefault="001B5F9C" w:rsidP="001B5F9C">
      <w:pPr>
        <w:numPr>
          <w:ilvl w:val="0"/>
          <w:numId w:val="21"/>
        </w:numPr>
        <w:spacing w:line="278" w:lineRule="auto"/>
      </w:pPr>
      <w:r w:rsidRPr="001B5F9C">
        <w:t>Project costs, including the reported per-unit development cost, require independent verification;</w:t>
      </w:r>
    </w:p>
    <w:p w14:paraId="5A51083C" w14:textId="77777777" w:rsidR="001B5F9C" w:rsidRPr="001B5F9C" w:rsidRDefault="001B5F9C" w:rsidP="001B5F9C">
      <w:pPr>
        <w:numPr>
          <w:ilvl w:val="0"/>
          <w:numId w:val="21"/>
        </w:numPr>
        <w:spacing w:line="278" w:lineRule="auto"/>
      </w:pPr>
      <w:r w:rsidRPr="001B5F9C">
        <w:t>Public land and other subsidies must be valued as part of the total public contribution;</w:t>
      </w:r>
    </w:p>
    <w:p w14:paraId="71B5DB95" w14:textId="77777777" w:rsidR="001B5F9C" w:rsidRPr="001B5F9C" w:rsidRDefault="001B5F9C" w:rsidP="001B5F9C">
      <w:pPr>
        <w:numPr>
          <w:ilvl w:val="0"/>
          <w:numId w:val="21"/>
        </w:numPr>
        <w:spacing w:line="278" w:lineRule="auto"/>
      </w:pPr>
      <w:r w:rsidRPr="001B5F9C">
        <w:t>Shorter PILOT terms should be formally evaluated;</w:t>
      </w:r>
    </w:p>
    <w:p w14:paraId="68B5D1A5" w14:textId="77777777" w:rsidR="001B5F9C" w:rsidRPr="001B5F9C" w:rsidRDefault="001B5F9C" w:rsidP="001B5F9C">
      <w:pPr>
        <w:numPr>
          <w:ilvl w:val="0"/>
          <w:numId w:val="21"/>
        </w:numPr>
        <w:spacing w:line="278" w:lineRule="auto"/>
      </w:pPr>
      <w:r w:rsidRPr="001B5F9C">
        <w:t xml:space="preserve">Periodic financial reviews and </w:t>
      </w:r>
      <w:proofErr w:type="spellStart"/>
      <w:r w:rsidRPr="001B5F9C">
        <w:t>clawback</w:t>
      </w:r>
      <w:proofErr w:type="spellEnd"/>
      <w:r w:rsidRPr="001B5F9C">
        <w:t xml:space="preserve"> provisions are necessary to protect taxpayers;</w:t>
      </w:r>
    </w:p>
    <w:p w14:paraId="2238A426" w14:textId="77777777" w:rsidR="001B5F9C" w:rsidRPr="001B5F9C" w:rsidRDefault="001B5F9C" w:rsidP="001B5F9C">
      <w:pPr>
        <w:numPr>
          <w:ilvl w:val="0"/>
          <w:numId w:val="21"/>
        </w:numPr>
        <w:spacing w:line="278" w:lineRule="auto"/>
      </w:pPr>
      <w:r w:rsidRPr="001B5F9C">
        <w:t>Affordable homeownership should be considered as part of the project’s housing strategy;</w:t>
      </w:r>
    </w:p>
    <w:p w14:paraId="71FE0D49" w14:textId="77777777" w:rsidR="001B5F9C" w:rsidRPr="001B5F9C" w:rsidRDefault="001B5F9C" w:rsidP="001B5F9C">
      <w:pPr>
        <w:numPr>
          <w:ilvl w:val="0"/>
          <w:numId w:val="21"/>
        </w:numPr>
        <w:spacing w:line="278" w:lineRule="auto"/>
      </w:pPr>
      <w:r w:rsidRPr="001B5F9C">
        <w:t>Community benefits must be specific, measurable, enforceable, and publicly reported; and</w:t>
      </w:r>
    </w:p>
    <w:p w14:paraId="3A508E4C" w14:textId="77777777" w:rsidR="001B5F9C" w:rsidRPr="001B5F9C" w:rsidRDefault="001B5F9C" w:rsidP="001B5F9C">
      <w:pPr>
        <w:numPr>
          <w:ilvl w:val="0"/>
          <w:numId w:val="21"/>
        </w:numPr>
        <w:spacing w:line="278" w:lineRule="auto"/>
      </w:pPr>
      <w:r w:rsidRPr="001B5F9C">
        <w:t>Final approval should not occur until the City receives the documentation necessary for a comprehensive independent review.</w:t>
      </w:r>
    </w:p>
    <w:p w14:paraId="3F6FDF4A" w14:textId="77777777" w:rsidR="001B5F9C" w:rsidRPr="001B5F9C" w:rsidRDefault="001B5F9C" w:rsidP="001B5F9C">
      <w:pPr>
        <w:spacing w:line="278" w:lineRule="auto"/>
      </w:pPr>
      <w:r w:rsidRPr="001B5F9C">
        <w:pict w14:anchorId="3761D1F9">
          <v:rect id="_x0000_i1395" style="width:0;height:1.5pt" o:hralign="center" o:hrstd="t" o:hr="t" fillcolor="#a0a0a0" stroked="f"/>
        </w:pict>
      </w:r>
    </w:p>
    <w:p w14:paraId="4B020377" w14:textId="77777777" w:rsidR="00982991" w:rsidRDefault="00982991">
      <w:pPr>
        <w:pStyle w:val="Heading1"/>
        <w:rPr>
          <w:rFonts w:asciiTheme="minorHAnsi" w:hAnsiTheme="minorHAnsi" w:cstheme="minorBidi"/>
          <w:kern w:val="36"/>
          <w:sz w:val="48"/>
          <w:szCs w:val="48"/>
          <w14:ligatures w14:val="standardContextual"/>
        </w:rPr>
      </w:pPr>
      <w:r>
        <w:rPr>
          <w:rFonts w:asciiTheme="minorHAnsi" w:hAnsiTheme="minorHAnsi" w:cstheme="minorBidi"/>
        </w:rPr>
        <w:lastRenderedPageBreak/>
        <w:t>Conclusion</w:t>
      </w:r>
    </w:p>
    <w:p w14:paraId="44FFD3E4" w14:textId="77777777" w:rsidR="001B5F9C" w:rsidRPr="001B5F9C" w:rsidRDefault="001B5F9C" w:rsidP="001B5F9C">
      <w:pPr>
        <w:spacing w:line="278" w:lineRule="auto"/>
      </w:pPr>
      <w:r w:rsidRPr="001B5F9C">
        <w:t>The Garfield Avenue Redevelopment Project has the potential to provide meaningful environmental remediation, affordable housing, public infrastructure, open space, and neighborhood investment.</w:t>
      </w:r>
    </w:p>
    <w:p w14:paraId="2570B4E3" w14:textId="77777777" w:rsidR="001B5F9C" w:rsidRPr="001B5F9C" w:rsidRDefault="001B5F9C" w:rsidP="001B5F9C">
      <w:pPr>
        <w:spacing w:line="278" w:lineRule="auto"/>
      </w:pPr>
      <w:r w:rsidRPr="001B5F9C">
        <w:t>The central policy question is not whether tax abatements should be used. The question is whether the proposed public assistance is necessary, proportional, transparent, and enforceable.</w:t>
      </w:r>
    </w:p>
    <w:p w14:paraId="6FD820E2" w14:textId="77777777" w:rsidR="001B5F9C" w:rsidRPr="001B5F9C" w:rsidRDefault="001B5F9C" w:rsidP="001B5F9C">
      <w:pPr>
        <w:spacing w:line="278" w:lineRule="auto"/>
      </w:pPr>
      <w:r w:rsidRPr="001B5F9C">
        <w:t>Protecting taxpayers requires a shift away from isolated and ad hoc approvals toward a standardized, need-based framework. Independent financial review, shorter-term modeling, public disclosure, affordable homeownership, enforceable community benefits, and continuing oversight should become standard requirements for PILOT agreements in Jersey City and throughout New Jersey.</w:t>
      </w:r>
    </w:p>
    <w:p w14:paraId="517275B0" w14:textId="77777777" w:rsidR="001B5F9C" w:rsidRPr="001B5F9C" w:rsidRDefault="001B5F9C" w:rsidP="001B5F9C">
      <w:pPr>
        <w:spacing w:line="278" w:lineRule="auto"/>
      </w:pPr>
      <w:r w:rsidRPr="001B5F9C">
        <w:t>A well-designed tax abatement policy can support responsible development while protecting municipal finances and advancing equitable community outcomes. When public assistance is tied to verified need and measurable public benefits, redevelopment can serve developers, residents, municipalities, and taxpayers fairly.</w:t>
      </w:r>
    </w:p>
    <w:p w14:paraId="0ED1E7A7" w14:textId="77777777" w:rsidR="0049606A" w:rsidRPr="001B5F9C" w:rsidRDefault="0049606A" w:rsidP="001B5F9C"/>
    <w:sectPr w:rsidR="0049606A" w:rsidRPr="001B5F9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D94B4" w14:textId="77777777" w:rsidR="009B69DF" w:rsidRDefault="009B69DF" w:rsidP="001B5F9C">
      <w:pPr>
        <w:spacing w:after="0" w:line="240" w:lineRule="auto"/>
      </w:pPr>
      <w:r>
        <w:separator/>
      </w:r>
    </w:p>
  </w:endnote>
  <w:endnote w:type="continuationSeparator" w:id="0">
    <w:p w14:paraId="49DFFD36" w14:textId="77777777" w:rsidR="009B69DF" w:rsidRDefault="009B69DF" w:rsidP="001B5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EBD6" w14:textId="77777777" w:rsidR="00982991" w:rsidRDefault="009829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C03E" w14:textId="77777777" w:rsidR="00982991" w:rsidRDefault="009829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DC1B8" w14:textId="77777777" w:rsidR="00982991" w:rsidRDefault="009829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07344" w14:textId="77777777" w:rsidR="009B69DF" w:rsidRDefault="009B69DF" w:rsidP="001B5F9C">
      <w:pPr>
        <w:spacing w:after="0" w:line="240" w:lineRule="auto"/>
      </w:pPr>
      <w:r>
        <w:separator/>
      </w:r>
    </w:p>
  </w:footnote>
  <w:footnote w:type="continuationSeparator" w:id="0">
    <w:p w14:paraId="09DB0E93" w14:textId="77777777" w:rsidR="009B69DF" w:rsidRDefault="009B69DF" w:rsidP="001B5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E091" w14:textId="77777777" w:rsidR="00982991" w:rsidRDefault="00982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9C715" w14:textId="4CE046EA" w:rsidR="001B5F9C" w:rsidRDefault="001B5F9C">
    <w:pPr>
      <w:pStyle w:val="Header"/>
    </w:pPr>
    <w:r>
      <w:rPr>
        <w:noProof/>
      </w:rPr>
      <w:drawing>
        <wp:inline distT="0" distB="0" distL="0" distR="0" wp14:anchorId="637A9B9A" wp14:editId="17D1F946">
          <wp:extent cx="879231" cy="879231"/>
          <wp:effectExtent l="0" t="0" r="0" b="0"/>
          <wp:docPr id="1500707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70790" name="Picture 150070790"/>
                  <pic:cNvPicPr/>
                </pic:nvPicPr>
                <pic:blipFill>
                  <a:blip r:embed="rId1">
                    <a:extLst>
                      <a:ext uri="{28A0092B-C50C-407E-A947-70E740481C1C}">
                        <a14:useLocalDpi xmlns:a14="http://schemas.microsoft.com/office/drawing/2010/main" val="0"/>
                      </a:ext>
                    </a:extLst>
                  </a:blip>
                  <a:stretch>
                    <a:fillRect/>
                  </a:stretch>
                </pic:blipFill>
                <pic:spPr>
                  <a:xfrm>
                    <a:off x="0" y="0"/>
                    <a:ext cx="886782" cy="886782"/>
                  </a:xfrm>
                  <a:prstGeom prst="rect">
                    <a:avLst/>
                  </a:prstGeom>
                </pic:spPr>
              </pic:pic>
            </a:graphicData>
          </a:graphic>
        </wp:inline>
      </w:drawing>
    </w:r>
  </w:p>
  <w:p w14:paraId="701F55ED" w14:textId="77777777" w:rsidR="001B5F9C" w:rsidRDefault="001B5F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BC222" w14:textId="77777777" w:rsidR="00982991" w:rsidRDefault="009829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7056"/>
    <w:multiLevelType w:val="multilevel"/>
    <w:tmpl w:val="C408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A06A3"/>
    <w:multiLevelType w:val="multilevel"/>
    <w:tmpl w:val="A8902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1C1C1A"/>
    <w:multiLevelType w:val="multilevel"/>
    <w:tmpl w:val="712AB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B1C33"/>
    <w:multiLevelType w:val="multilevel"/>
    <w:tmpl w:val="147A0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8535E6"/>
    <w:multiLevelType w:val="multilevel"/>
    <w:tmpl w:val="FFF2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F41E7F"/>
    <w:multiLevelType w:val="multilevel"/>
    <w:tmpl w:val="35F0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D0C36"/>
    <w:multiLevelType w:val="multilevel"/>
    <w:tmpl w:val="5D249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D338F"/>
    <w:multiLevelType w:val="multilevel"/>
    <w:tmpl w:val="811C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7C0917"/>
    <w:multiLevelType w:val="multilevel"/>
    <w:tmpl w:val="C44AD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141D11"/>
    <w:multiLevelType w:val="multilevel"/>
    <w:tmpl w:val="BE7C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6C7061"/>
    <w:multiLevelType w:val="multilevel"/>
    <w:tmpl w:val="EF4C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FD3B97"/>
    <w:multiLevelType w:val="multilevel"/>
    <w:tmpl w:val="B07E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50788D"/>
    <w:multiLevelType w:val="multilevel"/>
    <w:tmpl w:val="24901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064ABA"/>
    <w:multiLevelType w:val="multilevel"/>
    <w:tmpl w:val="04EC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6C1A84"/>
    <w:multiLevelType w:val="multilevel"/>
    <w:tmpl w:val="FB3A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5D3654"/>
    <w:multiLevelType w:val="multilevel"/>
    <w:tmpl w:val="DAE4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621C7D"/>
    <w:multiLevelType w:val="multilevel"/>
    <w:tmpl w:val="334C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B16B84"/>
    <w:multiLevelType w:val="multilevel"/>
    <w:tmpl w:val="D04A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B4096A"/>
    <w:multiLevelType w:val="multilevel"/>
    <w:tmpl w:val="D74C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977C45"/>
    <w:multiLevelType w:val="multilevel"/>
    <w:tmpl w:val="7146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295229"/>
    <w:multiLevelType w:val="multilevel"/>
    <w:tmpl w:val="5A06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8717715">
    <w:abstractNumId w:val="13"/>
  </w:num>
  <w:num w:numId="2" w16cid:durableId="67309937">
    <w:abstractNumId w:val="19"/>
  </w:num>
  <w:num w:numId="3" w16cid:durableId="1188327581">
    <w:abstractNumId w:val="16"/>
  </w:num>
  <w:num w:numId="4" w16cid:durableId="135951315">
    <w:abstractNumId w:val="0"/>
  </w:num>
  <w:num w:numId="5" w16cid:durableId="205026044">
    <w:abstractNumId w:val="10"/>
  </w:num>
  <w:num w:numId="6" w16cid:durableId="2135757012">
    <w:abstractNumId w:val="1"/>
  </w:num>
  <w:num w:numId="7" w16cid:durableId="1226798850">
    <w:abstractNumId w:val="17"/>
  </w:num>
  <w:num w:numId="8" w16cid:durableId="1088889121">
    <w:abstractNumId w:val="4"/>
  </w:num>
  <w:num w:numId="9" w16cid:durableId="1574046191">
    <w:abstractNumId w:val="7"/>
  </w:num>
  <w:num w:numId="10" w16cid:durableId="1792553775">
    <w:abstractNumId w:val="18"/>
  </w:num>
  <w:num w:numId="11" w16cid:durableId="1095438444">
    <w:abstractNumId w:val="14"/>
  </w:num>
  <w:num w:numId="12" w16cid:durableId="179703906">
    <w:abstractNumId w:val="11"/>
  </w:num>
  <w:num w:numId="13" w16cid:durableId="1660158713">
    <w:abstractNumId w:val="9"/>
  </w:num>
  <w:num w:numId="14" w16cid:durableId="29577679">
    <w:abstractNumId w:val="8"/>
  </w:num>
  <w:num w:numId="15" w16cid:durableId="1089352537">
    <w:abstractNumId w:val="12"/>
  </w:num>
  <w:num w:numId="16" w16cid:durableId="1854029767">
    <w:abstractNumId w:val="5"/>
  </w:num>
  <w:num w:numId="17" w16cid:durableId="2134445818">
    <w:abstractNumId w:val="20"/>
  </w:num>
  <w:num w:numId="18" w16cid:durableId="137579832">
    <w:abstractNumId w:val="15"/>
  </w:num>
  <w:num w:numId="19" w16cid:durableId="950548383">
    <w:abstractNumId w:val="6"/>
  </w:num>
  <w:num w:numId="20" w16cid:durableId="1047071837">
    <w:abstractNumId w:val="3"/>
  </w:num>
  <w:num w:numId="21" w16cid:durableId="5045893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F9C"/>
    <w:rsid w:val="000207E2"/>
    <w:rsid w:val="001B5F9C"/>
    <w:rsid w:val="001F04B2"/>
    <w:rsid w:val="002438F8"/>
    <w:rsid w:val="002866F8"/>
    <w:rsid w:val="00325972"/>
    <w:rsid w:val="003A4281"/>
    <w:rsid w:val="00446080"/>
    <w:rsid w:val="0046575A"/>
    <w:rsid w:val="00467EB2"/>
    <w:rsid w:val="0049606A"/>
    <w:rsid w:val="004E0843"/>
    <w:rsid w:val="006C6868"/>
    <w:rsid w:val="008B62FA"/>
    <w:rsid w:val="008E796D"/>
    <w:rsid w:val="0094143A"/>
    <w:rsid w:val="00982991"/>
    <w:rsid w:val="009B69DF"/>
    <w:rsid w:val="009C2DB5"/>
    <w:rsid w:val="00A71A3A"/>
    <w:rsid w:val="00B14FFF"/>
    <w:rsid w:val="00BF54DC"/>
    <w:rsid w:val="00C95C37"/>
    <w:rsid w:val="00D652DF"/>
    <w:rsid w:val="00E04685"/>
    <w:rsid w:val="00ED490D"/>
    <w:rsid w:val="00EE40B4"/>
    <w:rsid w:val="00F95E96"/>
    <w:rsid w:val="00F96BEB"/>
    <w:rsid w:val="00FF1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6FDDD"/>
  <w15:chartTrackingRefBased/>
  <w15:docId w15:val="{6BA6D0FA-A470-4A4A-A7C6-0212D00A8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F9C"/>
    <w:pPr>
      <w:spacing w:line="300" w:lineRule="atLeast"/>
    </w:pPr>
    <w:rPr>
      <w:rFonts w:ascii="Aptos" w:hAnsi="Aptos"/>
      <w:sz w:val="22"/>
    </w:rPr>
  </w:style>
  <w:style w:type="paragraph" w:styleId="Heading1">
    <w:name w:val="heading 1"/>
    <w:basedOn w:val="Normal"/>
    <w:next w:val="Normal"/>
    <w:link w:val="Heading1Char"/>
    <w:uiPriority w:val="9"/>
    <w:qFormat/>
    <w:rsid w:val="001B5F9C"/>
    <w:pPr>
      <w:keepNext/>
      <w:keepLines/>
      <w:spacing w:before="320" w:after="120" w:line="400" w:lineRule="atLeast"/>
      <w:outlineLvl w:val="0"/>
    </w:pPr>
    <w:rPr>
      <w:rFonts w:ascii="Aptos Display" w:eastAsiaTheme="majorEastAsia" w:hAnsi="Aptos Display" w:cstheme="majorBidi"/>
      <w:b/>
      <w:color w:val="000000"/>
      <w:sz w:val="32"/>
      <w:szCs w:val="40"/>
    </w:rPr>
  </w:style>
  <w:style w:type="paragraph" w:styleId="Heading2">
    <w:name w:val="heading 2"/>
    <w:basedOn w:val="Normal"/>
    <w:next w:val="Normal"/>
    <w:link w:val="Heading2Char"/>
    <w:uiPriority w:val="9"/>
    <w:unhideWhenUsed/>
    <w:qFormat/>
    <w:rsid w:val="001B5F9C"/>
    <w:pPr>
      <w:keepNext/>
      <w:keepLines/>
      <w:spacing w:before="200" w:after="80" w:line="320" w:lineRule="atLeast"/>
      <w:outlineLvl w:val="1"/>
    </w:pPr>
    <w:rPr>
      <w:rFonts w:ascii="Aptos Display" w:eastAsiaTheme="majorEastAsia" w:hAnsi="Aptos Display" w:cstheme="majorBidi"/>
      <w:b/>
      <w:color w:val="E87500"/>
      <w:sz w:val="24"/>
      <w:szCs w:val="32"/>
    </w:rPr>
  </w:style>
  <w:style w:type="paragraph" w:styleId="Heading3">
    <w:name w:val="heading 3"/>
    <w:basedOn w:val="Normal"/>
    <w:next w:val="Normal"/>
    <w:link w:val="Heading3Char"/>
    <w:uiPriority w:val="9"/>
    <w:semiHidden/>
    <w:unhideWhenUsed/>
    <w:qFormat/>
    <w:rsid w:val="001B5F9C"/>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1B5F9C"/>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1B5F9C"/>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1B5F9C"/>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1B5F9C"/>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1B5F9C"/>
    <w:pPr>
      <w:keepNext/>
      <w:keepLines/>
      <w:spacing w:before="40" w:after="0"/>
      <w:outlineLvl w:val="7"/>
    </w:pPr>
    <w:rPr>
      <w:rFonts w:asciiTheme="majorHAnsi" w:eastAsiaTheme="majorEastAsia" w:hAnsiTheme="majorHAnsi" w:cstheme="majorBidi"/>
      <w:i/>
      <w:iCs/>
      <w:szCs w:val="22"/>
    </w:rPr>
  </w:style>
  <w:style w:type="paragraph" w:styleId="Heading9">
    <w:name w:val="heading 9"/>
    <w:basedOn w:val="Normal"/>
    <w:next w:val="Normal"/>
    <w:link w:val="Heading9Char"/>
    <w:uiPriority w:val="9"/>
    <w:semiHidden/>
    <w:unhideWhenUsed/>
    <w:qFormat/>
    <w:rsid w:val="001B5F9C"/>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F9C"/>
    <w:rPr>
      <w:rFonts w:ascii="Aptos Display" w:eastAsiaTheme="majorEastAsia" w:hAnsi="Aptos Display" w:cstheme="majorBidi"/>
      <w:b/>
      <w:color w:val="000000"/>
      <w:sz w:val="32"/>
      <w:szCs w:val="40"/>
    </w:rPr>
  </w:style>
  <w:style w:type="character" w:customStyle="1" w:styleId="Heading2Char">
    <w:name w:val="Heading 2 Char"/>
    <w:basedOn w:val="DefaultParagraphFont"/>
    <w:link w:val="Heading2"/>
    <w:uiPriority w:val="9"/>
    <w:rsid w:val="001B5F9C"/>
    <w:rPr>
      <w:rFonts w:ascii="Aptos Display" w:eastAsiaTheme="majorEastAsia" w:hAnsi="Aptos Display" w:cstheme="majorBidi"/>
      <w:b/>
      <w:color w:val="E87500"/>
      <w:sz w:val="24"/>
      <w:szCs w:val="32"/>
    </w:rPr>
  </w:style>
  <w:style w:type="character" w:customStyle="1" w:styleId="Heading3Char">
    <w:name w:val="Heading 3 Char"/>
    <w:basedOn w:val="DefaultParagraphFont"/>
    <w:link w:val="Heading3"/>
    <w:uiPriority w:val="9"/>
    <w:semiHidden/>
    <w:rsid w:val="001B5F9C"/>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1B5F9C"/>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1B5F9C"/>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1B5F9C"/>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1B5F9C"/>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1B5F9C"/>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1B5F9C"/>
    <w:rPr>
      <w:b/>
      <w:bCs/>
      <w:i/>
      <w:iCs/>
    </w:rPr>
  </w:style>
  <w:style w:type="paragraph" w:styleId="Title">
    <w:name w:val="Title"/>
    <w:basedOn w:val="Normal"/>
    <w:next w:val="Normal"/>
    <w:link w:val="TitleChar"/>
    <w:uiPriority w:val="10"/>
    <w:qFormat/>
    <w:rsid w:val="001B5F9C"/>
    <w:pPr>
      <w:pBdr>
        <w:top w:val="single" w:sz="6" w:space="8" w:color="4BAF73" w:themeColor="accent3"/>
        <w:bottom w:val="single" w:sz="6" w:space="8" w:color="4BAF73" w:themeColor="accent3"/>
      </w:pBdr>
      <w:spacing w:after="200" w:line="600" w:lineRule="atLeast"/>
      <w:contextualSpacing/>
      <w:jc w:val="center"/>
    </w:pPr>
    <w:rPr>
      <w:rFonts w:ascii="Aptos Display" w:eastAsiaTheme="majorEastAsia" w:hAnsi="Aptos Display" w:cstheme="majorBidi"/>
      <w:b/>
      <w:caps/>
      <w:color w:val="000000"/>
      <w:spacing w:val="30"/>
      <w:sz w:val="52"/>
      <w:szCs w:val="72"/>
    </w:rPr>
  </w:style>
  <w:style w:type="character" w:customStyle="1" w:styleId="TitleChar">
    <w:name w:val="Title Char"/>
    <w:basedOn w:val="DefaultParagraphFont"/>
    <w:link w:val="Title"/>
    <w:uiPriority w:val="10"/>
    <w:rsid w:val="001B5F9C"/>
    <w:rPr>
      <w:rFonts w:ascii="Aptos Display" w:eastAsiaTheme="majorEastAsia" w:hAnsi="Aptos Display" w:cstheme="majorBidi"/>
      <w:b/>
      <w:caps/>
      <w:color w:val="000000"/>
      <w:spacing w:val="30"/>
      <w:sz w:val="52"/>
      <w:szCs w:val="72"/>
    </w:rPr>
  </w:style>
  <w:style w:type="paragraph" w:styleId="Subtitle">
    <w:name w:val="Subtitle"/>
    <w:basedOn w:val="Normal"/>
    <w:next w:val="Normal"/>
    <w:link w:val="SubtitleChar"/>
    <w:uiPriority w:val="11"/>
    <w:qFormat/>
    <w:rsid w:val="001B5F9C"/>
    <w:pPr>
      <w:numPr>
        <w:ilvl w:val="1"/>
      </w:numPr>
      <w:spacing w:line="360" w:lineRule="atLeast"/>
      <w:jc w:val="center"/>
    </w:pPr>
    <w:rPr>
      <w:color w:val="E87500"/>
      <w:sz w:val="28"/>
      <w:szCs w:val="28"/>
    </w:rPr>
  </w:style>
  <w:style w:type="character" w:customStyle="1" w:styleId="SubtitleChar">
    <w:name w:val="Subtitle Char"/>
    <w:basedOn w:val="DefaultParagraphFont"/>
    <w:link w:val="Subtitle"/>
    <w:uiPriority w:val="11"/>
    <w:rsid w:val="001B5F9C"/>
    <w:rPr>
      <w:rFonts w:ascii="Aptos" w:hAnsi="Aptos"/>
      <w:color w:val="E87500"/>
      <w:sz w:val="28"/>
      <w:szCs w:val="28"/>
    </w:rPr>
  </w:style>
  <w:style w:type="paragraph" w:styleId="Quote">
    <w:name w:val="Quote"/>
    <w:basedOn w:val="Normal"/>
    <w:next w:val="Normal"/>
    <w:link w:val="QuoteChar"/>
    <w:uiPriority w:val="29"/>
    <w:qFormat/>
    <w:rsid w:val="001B5F9C"/>
    <w:pPr>
      <w:spacing w:before="160"/>
      <w:ind w:left="720" w:right="720"/>
      <w:jc w:val="center"/>
    </w:pPr>
    <w:rPr>
      <w:i/>
      <w:iCs/>
      <w:color w:val="388256" w:themeColor="accent3" w:themeShade="BF"/>
      <w:sz w:val="24"/>
      <w:szCs w:val="24"/>
    </w:rPr>
  </w:style>
  <w:style w:type="character" w:customStyle="1" w:styleId="QuoteChar">
    <w:name w:val="Quote Char"/>
    <w:basedOn w:val="DefaultParagraphFont"/>
    <w:link w:val="Quote"/>
    <w:uiPriority w:val="29"/>
    <w:rsid w:val="001B5F9C"/>
    <w:rPr>
      <w:i/>
      <w:iCs/>
      <w:color w:val="388256" w:themeColor="accent3" w:themeShade="BF"/>
      <w:sz w:val="24"/>
      <w:szCs w:val="24"/>
    </w:rPr>
  </w:style>
  <w:style w:type="paragraph" w:styleId="ListParagraph">
    <w:name w:val="List Paragraph"/>
    <w:basedOn w:val="Normal"/>
    <w:uiPriority w:val="34"/>
    <w:qFormat/>
    <w:rsid w:val="001B5F9C"/>
    <w:pPr>
      <w:ind w:left="720"/>
      <w:contextualSpacing/>
    </w:pPr>
  </w:style>
  <w:style w:type="character" w:styleId="IntenseEmphasis">
    <w:name w:val="Intense Emphasis"/>
    <w:basedOn w:val="DefaultParagraphFont"/>
    <w:uiPriority w:val="21"/>
    <w:qFormat/>
    <w:rsid w:val="001B5F9C"/>
    <w:rPr>
      <w:b/>
      <w:bCs/>
      <w:i/>
      <w:iCs/>
      <w:color w:val="auto"/>
    </w:rPr>
  </w:style>
  <w:style w:type="paragraph" w:styleId="IntenseQuote">
    <w:name w:val="Intense Quote"/>
    <w:basedOn w:val="Normal"/>
    <w:next w:val="Normal"/>
    <w:link w:val="IntenseQuoteChar"/>
    <w:uiPriority w:val="30"/>
    <w:qFormat/>
    <w:rsid w:val="001B5F9C"/>
    <w:pPr>
      <w:spacing w:before="160" w:line="276" w:lineRule="auto"/>
      <w:ind w:left="936" w:right="936"/>
      <w:jc w:val="center"/>
    </w:pPr>
    <w:rPr>
      <w:rFonts w:asciiTheme="majorHAnsi" w:eastAsiaTheme="majorEastAsia" w:hAnsiTheme="majorHAnsi" w:cstheme="majorBidi"/>
      <w:caps/>
      <w:color w:val="B76E0B" w:themeColor="accent1" w:themeShade="BF"/>
      <w:sz w:val="28"/>
      <w:szCs w:val="28"/>
    </w:rPr>
  </w:style>
  <w:style w:type="character" w:customStyle="1" w:styleId="IntenseQuoteChar">
    <w:name w:val="Intense Quote Char"/>
    <w:basedOn w:val="DefaultParagraphFont"/>
    <w:link w:val="IntenseQuote"/>
    <w:uiPriority w:val="30"/>
    <w:rsid w:val="001B5F9C"/>
    <w:rPr>
      <w:rFonts w:asciiTheme="majorHAnsi" w:eastAsiaTheme="majorEastAsia" w:hAnsiTheme="majorHAnsi" w:cstheme="majorBidi"/>
      <w:caps/>
      <w:color w:val="B76E0B" w:themeColor="accent1" w:themeShade="BF"/>
      <w:sz w:val="28"/>
      <w:szCs w:val="28"/>
    </w:rPr>
  </w:style>
  <w:style w:type="character" w:styleId="IntenseReference">
    <w:name w:val="Intense Reference"/>
    <w:basedOn w:val="DefaultParagraphFont"/>
    <w:uiPriority w:val="32"/>
    <w:qFormat/>
    <w:rsid w:val="001B5F9C"/>
    <w:rPr>
      <w:b/>
      <w:bCs/>
      <w:caps w:val="0"/>
      <w:smallCaps/>
      <w:color w:val="auto"/>
      <w:spacing w:val="0"/>
      <w:u w:val="single"/>
    </w:rPr>
  </w:style>
  <w:style w:type="paragraph" w:styleId="Header">
    <w:name w:val="header"/>
    <w:basedOn w:val="Normal"/>
    <w:link w:val="HeaderChar"/>
    <w:uiPriority w:val="99"/>
    <w:unhideWhenUsed/>
    <w:rsid w:val="001B5F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F9C"/>
  </w:style>
  <w:style w:type="paragraph" w:styleId="Footer">
    <w:name w:val="footer"/>
    <w:basedOn w:val="Normal"/>
    <w:link w:val="FooterChar"/>
    <w:uiPriority w:val="99"/>
    <w:unhideWhenUsed/>
    <w:rsid w:val="001B5F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F9C"/>
  </w:style>
  <w:style w:type="paragraph" w:styleId="Caption">
    <w:name w:val="caption"/>
    <w:basedOn w:val="Normal"/>
    <w:next w:val="Normal"/>
    <w:uiPriority w:val="35"/>
    <w:semiHidden/>
    <w:unhideWhenUsed/>
    <w:qFormat/>
    <w:rsid w:val="001B5F9C"/>
    <w:pPr>
      <w:spacing w:line="240" w:lineRule="auto"/>
    </w:pPr>
    <w:rPr>
      <w:b/>
      <w:bCs/>
      <w:color w:val="404040" w:themeColor="text1" w:themeTint="BF"/>
      <w:sz w:val="16"/>
      <w:szCs w:val="16"/>
    </w:rPr>
  </w:style>
  <w:style w:type="character" w:styleId="Strong">
    <w:name w:val="Strong"/>
    <w:basedOn w:val="DefaultParagraphFont"/>
    <w:uiPriority w:val="22"/>
    <w:qFormat/>
    <w:rsid w:val="001B5F9C"/>
    <w:rPr>
      <w:b/>
      <w:bCs/>
    </w:rPr>
  </w:style>
  <w:style w:type="character" w:styleId="Emphasis">
    <w:name w:val="Emphasis"/>
    <w:basedOn w:val="DefaultParagraphFont"/>
    <w:uiPriority w:val="20"/>
    <w:qFormat/>
    <w:rsid w:val="001B5F9C"/>
    <w:rPr>
      <w:i/>
      <w:iCs/>
      <w:color w:val="000000" w:themeColor="text1"/>
    </w:rPr>
  </w:style>
  <w:style w:type="paragraph" w:styleId="NoSpacing">
    <w:name w:val="No Spacing"/>
    <w:uiPriority w:val="1"/>
    <w:qFormat/>
    <w:rsid w:val="001B5F9C"/>
    <w:pPr>
      <w:spacing w:after="0" w:line="240" w:lineRule="auto"/>
    </w:pPr>
  </w:style>
  <w:style w:type="character" w:styleId="SubtleEmphasis">
    <w:name w:val="Subtle Emphasis"/>
    <w:basedOn w:val="DefaultParagraphFont"/>
    <w:uiPriority w:val="19"/>
    <w:qFormat/>
    <w:rsid w:val="001B5F9C"/>
    <w:rPr>
      <w:i/>
      <w:iCs/>
      <w:color w:val="595959" w:themeColor="text1" w:themeTint="A6"/>
    </w:rPr>
  </w:style>
  <w:style w:type="character" w:styleId="SubtleReference">
    <w:name w:val="Subtle Reference"/>
    <w:basedOn w:val="DefaultParagraphFont"/>
    <w:uiPriority w:val="31"/>
    <w:qFormat/>
    <w:rsid w:val="001B5F9C"/>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1B5F9C"/>
    <w:rPr>
      <w:b/>
      <w:bCs/>
      <w:caps w:val="0"/>
      <w:smallCaps/>
      <w:spacing w:val="0"/>
    </w:rPr>
  </w:style>
  <w:style w:type="paragraph" w:styleId="TOCHeading">
    <w:name w:val="TOC Heading"/>
    <w:basedOn w:val="Heading1"/>
    <w:next w:val="Normal"/>
    <w:uiPriority w:val="39"/>
    <w:semiHidden/>
    <w:unhideWhenUsed/>
    <w:qFormat/>
    <w:rsid w:val="001B5F9C"/>
    <w:pPr>
      <w:outlineLvl w:val="9"/>
    </w:pPr>
  </w:style>
  <w:style w:type="paragraph" w:styleId="NormalWeb">
    <w:name w:val="Normal (Web)"/>
    <w:basedOn w:val="Normal"/>
    <w:uiPriority w:val="99"/>
    <w:semiHidden/>
    <w:unhideWhenUsed/>
    <w:rsid w:val="00982991"/>
    <w:pPr>
      <w:spacing w:before="100" w:beforeAutospacing="1" w:after="100" w:afterAutospacing="1" w:line="240" w:lineRule="auto"/>
    </w:pPr>
    <w:rPr>
      <w:rFonts w:ascii="Times New Roman" w:hAnsi="Times New Roman" w:cs="Times New Roman"/>
      <w:kern w:val="2"/>
      <w:sz w:val="24"/>
      <w:szCs w:val="24"/>
      <w14:ligatures w14:val="standardContextual"/>
    </w:rPr>
  </w:style>
  <w:style w:type="paragraph" w:styleId="TOC1">
    <w:name w:val="toc 1"/>
    <w:basedOn w:val="Normal"/>
    <w:next w:val="Normal"/>
    <w:autoRedefine/>
    <w:uiPriority w:val="39"/>
    <w:semiHidden/>
    <w:unhideWhenUsed/>
    <w:rsid w:val="00A71A3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2444</Words>
  <Characters>14621</Characters>
  <Application>Microsoft Office Word</Application>
  <DocSecurity>0</DocSecurity>
  <Lines>635</Lines>
  <Paragraphs>501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Restrepo</dc:creator>
  <cp:keywords/>
  <dc:description/>
  <cp:lastModifiedBy>John Restrepo</cp:lastModifiedBy>
  <cp:revision>2</cp:revision>
  <dcterms:created xsi:type="dcterms:W3CDTF">2026-09-24T19:25:00Z</dcterms:created>
  <dcterms:modified xsi:type="dcterms:W3CDTF">2026-09-24T19:25:00Z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66634b06-d77e-466c-a1e8-2f948f6a8523</vt:lpwstr>
  </property>
</Properties>
</file>